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9C636">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w:t>
      </w:r>
    </w:p>
    <w:p w14:paraId="1FFE15FB">
      <w:pPr>
        <w:pStyle w:val="11"/>
        <w:spacing w:line="360" w:lineRule="auto"/>
        <w:jc w:val="center"/>
        <w:outlineLvl w:val="0"/>
        <w:rPr>
          <w:rFonts w:hint="eastAsia" w:ascii="宋体" w:hAnsi="宋体" w:eastAsia="宋体" w:cs="宋体"/>
          <w:color w:val="auto"/>
          <w:sz w:val="52"/>
          <w:szCs w:val="52"/>
        </w:rPr>
      </w:pPr>
      <w:r>
        <w:rPr>
          <w:rFonts w:hint="eastAsia" w:ascii="宋体" w:hAnsi="宋体" w:eastAsia="宋体" w:cs="宋体"/>
          <w:b/>
          <w:color w:val="auto"/>
          <w:sz w:val="52"/>
          <w:szCs w:val="52"/>
        </w:rPr>
        <w:t>福建省政府采购</w:t>
      </w:r>
    </w:p>
    <w:p w14:paraId="64FA86CB">
      <w:pPr>
        <w:pStyle w:val="11"/>
        <w:spacing w:line="360" w:lineRule="auto"/>
        <w:jc w:val="center"/>
        <w:outlineLvl w:val="0"/>
        <w:rPr>
          <w:rFonts w:hint="eastAsia" w:ascii="宋体" w:hAnsi="宋体" w:eastAsia="宋体" w:cs="宋体"/>
          <w:color w:val="auto"/>
          <w:sz w:val="52"/>
          <w:szCs w:val="52"/>
        </w:rPr>
      </w:pPr>
      <w:r>
        <w:rPr>
          <w:rFonts w:hint="eastAsia" w:ascii="宋体" w:hAnsi="宋体" w:eastAsia="宋体" w:cs="宋体"/>
          <w:b/>
          <w:color w:val="auto"/>
          <w:sz w:val="52"/>
          <w:szCs w:val="52"/>
        </w:rPr>
        <w:t>货物和服务项目</w:t>
      </w:r>
    </w:p>
    <w:p w14:paraId="2057FE03">
      <w:pPr>
        <w:pStyle w:val="11"/>
        <w:spacing w:line="360" w:lineRule="auto"/>
        <w:jc w:val="center"/>
        <w:outlineLvl w:val="0"/>
        <w:rPr>
          <w:rFonts w:hint="eastAsia" w:ascii="宋体" w:hAnsi="宋体" w:eastAsia="宋体" w:cs="宋体"/>
          <w:color w:val="auto"/>
          <w:sz w:val="52"/>
          <w:szCs w:val="52"/>
        </w:rPr>
      </w:pPr>
      <w:r>
        <w:rPr>
          <w:rFonts w:hint="eastAsia" w:ascii="宋体" w:hAnsi="宋体" w:eastAsia="宋体" w:cs="宋体"/>
          <w:b/>
          <w:color w:val="auto"/>
          <w:sz w:val="52"/>
          <w:szCs w:val="52"/>
        </w:rPr>
        <w:t>公开招标文件</w:t>
      </w:r>
    </w:p>
    <w:p w14:paraId="09BEC6EA">
      <w:pPr>
        <w:pStyle w:val="11"/>
        <w:spacing w:line="360" w:lineRule="auto"/>
        <w:jc w:val="center"/>
        <w:outlineLvl w:val="2"/>
        <w:rPr>
          <w:rFonts w:hint="eastAsia" w:ascii="宋体" w:hAnsi="宋体" w:eastAsia="宋体" w:cs="宋体"/>
          <w:b/>
          <w:color w:val="auto"/>
          <w:sz w:val="36"/>
          <w:szCs w:val="36"/>
        </w:rPr>
      </w:pPr>
    </w:p>
    <w:p w14:paraId="648AEBC4">
      <w:pPr>
        <w:pStyle w:val="11"/>
        <w:spacing w:line="360" w:lineRule="auto"/>
        <w:jc w:val="center"/>
        <w:outlineLvl w:val="2"/>
        <w:rPr>
          <w:rFonts w:hint="eastAsia" w:ascii="宋体" w:hAnsi="宋体" w:eastAsia="宋体" w:cs="宋体"/>
          <w:b/>
          <w:color w:val="auto"/>
          <w:sz w:val="36"/>
          <w:szCs w:val="36"/>
        </w:rPr>
      </w:pPr>
    </w:p>
    <w:p w14:paraId="3B630D6B">
      <w:pPr>
        <w:pStyle w:val="11"/>
        <w:spacing w:line="360" w:lineRule="auto"/>
        <w:jc w:val="both"/>
        <w:outlineLvl w:val="2"/>
        <w:rPr>
          <w:rFonts w:hint="eastAsia" w:ascii="宋体" w:hAnsi="宋体" w:eastAsia="宋体" w:cs="宋体"/>
          <w:b/>
          <w:color w:val="auto"/>
          <w:sz w:val="36"/>
          <w:szCs w:val="36"/>
        </w:rPr>
      </w:pPr>
    </w:p>
    <w:p w14:paraId="75A886D0">
      <w:pPr>
        <w:pStyle w:val="11"/>
        <w:spacing w:line="360" w:lineRule="auto"/>
        <w:jc w:val="center"/>
        <w:outlineLvl w:val="2"/>
        <w:rPr>
          <w:rFonts w:hint="eastAsia" w:ascii="宋体" w:hAnsi="宋体" w:eastAsia="宋体" w:cs="宋体"/>
          <w:color w:val="auto"/>
          <w:sz w:val="36"/>
          <w:szCs w:val="36"/>
        </w:rPr>
      </w:pPr>
      <w:r>
        <w:rPr>
          <w:rFonts w:hint="eastAsia" w:ascii="宋体" w:hAnsi="宋体" w:eastAsia="宋体" w:cs="宋体"/>
          <w:b/>
          <w:color w:val="auto"/>
          <w:sz w:val="36"/>
          <w:szCs w:val="36"/>
        </w:rPr>
        <w:t>项目名称：建设有限空间“一险一码”平台</w:t>
      </w:r>
    </w:p>
    <w:p w14:paraId="4240C33A">
      <w:pPr>
        <w:pStyle w:val="11"/>
        <w:spacing w:line="360" w:lineRule="auto"/>
        <w:jc w:val="center"/>
        <w:outlineLvl w:val="2"/>
        <w:rPr>
          <w:rFonts w:hint="eastAsia" w:ascii="宋体" w:hAnsi="宋体" w:eastAsia="宋体" w:cs="宋体"/>
          <w:color w:val="auto"/>
          <w:sz w:val="36"/>
          <w:szCs w:val="36"/>
        </w:rPr>
      </w:pPr>
      <w:r>
        <w:rPr>
          <w:rFonts w:hint="eastAsia" w:ascii="宋体" w:hAnsi="宋体" w:eastAsia="宋体" w:cs="宋体"/>
          <w:b/>
          <w:color w:val="auto"/>
          <w:sz w:val="36"/>
          <w:szCs w:val="36"/>
        </w:rPr>
        <w:t>备案编号：CGXM-2026-350001-06817[2026]05378</w:t>
      </w:r>
    </w:p>
    <w:p w14:paraId="790C7BA2">
      <w:pPr>
        <w:pStyle w:val="11"/>
        <w:spacing w:line="360" w:lineRule="auto"/>
        <w:jc w:val="center"/>
        <w:outlineLvl w:val="2"/>
        <w:rPr>
          <w:rFonts w:hint="eastAsia" w:ascii="宋体" w:hAnsi="宋体" w:eastAsia="宋体" w:cs="宋体"/>
          <w:color w:val="auto"/>
          <w:sz w:val="36"/>
          <w:szCs w:val="36"/>
        </w:rPr>
      </w:pPr>
      <w:r>
        <w:rPr>
          <w:rFonts w:hint="eastAsia" w:ascii="宋体" w:hAnsi="宋体" w:eastAsia="宋体" w:cs="宋体"/>
          <w:b/>
          <w:color w:val="auto"/>
          <w:sz w:val="36"/>
          <w:szCs w:val="36"/>
        </w:rPr>
        <w:t>项目编号：[350001]HZZB[GK]2026003</w:t>
      </w:r>
    </w:p>
    <w:p w14:paraId="448C3264">
      <w:pPr>
        <w:pStyle w:val="11"/>
        <w:spacing w:line="360" w:lineRule="auto"/>
        <w:jc w:val="center"/>
        <w:outlineLvl w:val="2"/>
        <w:rPr>
          <w:rFonts w:hint="eastAsia" w:ascii="宋体" w:hAnsi="宋体" w:eastAsia="宋体" w:cs="宋体"/>
          <w:b/>
          <w:color w:val="auto"/>
          <w:sz w:val="36"/>
          <w:szCs w:val="36"/>
        </w:rPr>
      </w:pPr>
    </w:p>
    <w:p w14:paraId="7CA7343B">
      <w:pPr>
        <w:pStyle w:val="11"/>
        <w:spacing w:line="360" w:lineRule="auto"/>
        <w:jc w:val="center"/>
        <w:outlineLvl w:val="2"/>
        <w:rPr>
          <w:rFonts w:hint="eastAsia" w:ascii="宋体" w:hAnsi="宋体" w:eastAsia="宋体" w:cs="宋体"/>
          <w:b/>
          <w:color w:val="auto"/>
          <w:sz w:val="36"/>
          <w:szCs w:val="36"/>
        </w:rPr>
      </w:pPr>
    </w:p>
    <w:p w14:paraId="167F1541">
      <w:pPr>
        <w:pStyle w:val="11"/>
        <w:spacing w:line="360" w:lineRule="auto"/>
        <w:jc w:val="center"/>
        <w:outlineLvl w:val="2"/>
        <w:rPr>
          <w:rFonts w:hint="eastAsia" w:ascii="宋体" w:hAnsi="宋体" w:eastAsia="宋体" w:cs="宋体"/>
          <w:b/>
          <w:color w:val="auto"/>
          <w:sz w:val="36"/>
          <w:szCs w:val="36"/>
        </w:rPr>
      </w:pPr>
    </w:p>
    <w:p w14:paraId="12FF6C71">
      <w:pPr>
        <w:pStyle w:val="11"/>
        <w:spacing w:line="360" w:lineRule="auto"/>
        <w:jc w:val="center"/>
        <w:outlineLvl w:val="2"/>
        <w:rPr>
          <w:rFonts w:hint="eastAsia" w:ascii="宋体" w:hAnsi="宋体" w:eastAsia="宋体" w:cs="宋体"/>
          <w:b/>
          <w:color w:val="auto"/>
          <w:sz w:val="36"/>
          <w:szCs w:val="36"/>
        </w:rPr>
      </w:pPr>
    </w:p>
    <w:p w14:paraId="3AB7AF42">
      <w:pPr>
        <w:pStyle w:val="11"/>
        <w:spacing w:line="360" w:lineRule="auto"/>
        <w:jc w:val="center"/>
        <w:outlineLvl w:val="2"/>
        <w:rPr>
          <w:rFonts w:hint="eastAsia" w:ascii="宋体" w:hAnsi="宋体" w:eastAsia="宋体" w:cs="宋体"/>
          <w:b/>
          <w:color w:val="auto"/>
          <w:sz w:val="36"/>
          <w:szCs w:val="36"/>
        </w:rPr>
      </w:pPr>
    </w:p>
    <w:p w14:paraId="22629A32">
      <w:pPr>
        <w:pStyle w:val="11"/>
        <w:spacing w:line="360" w:lineRule="auto"/>
        <w:jc w:val="center"/>
        <w:outlineLvl w:val="2"/>
        <w:rPr>
          <w:rFonts w:hint="eastAsia" w:ascii="宋体" w:hAnsi="宋体" w:eastAsia="宋体" w:cs="宋体"/>
          <w:color w:val="auto"/>
          <w:sz w:val="36"/>
          <w:szCs w:val="36"/>
        </w:rPr>
      </w:pPr>
      <w:r>
        <w:rPr>
          <w:rFonts w:hint="eastAsia" w:ascii="宋体" w:hAnsi="宋体" w:eastAsia="宋体" w:cs="宋体"/>
          <w:b/>
          <w:color w:val="auto"/>
          <w:sz w:val="36"/>
          <w:szCs w:val="36"/>
        </w:rPr>
        <w:t>采购人：福建省应急管理厅</w:t>
      </w:r>
    </w:p>
    <w:p w14:paraId="2A51FDEE">
      <w:pPr>
        <w:pStyle w:val="11"/>
        <w:spacing w:line="360" w:lineRule="auto"/>
        <w:jc w:val="center"/>
        <w:outlineLvl w:val="2"/>
        <w:rPr>
          <w:rFonts w:hint="eastAsia" w:ascii="宋体" w:hAnsi="宋体" w:eastAsia="宋体" w:cs="宋体"/>
          <w:b/>
          <w:color w:val="auto"/>
          <w:sz w:val="36"/>
          <w:szCs w:val="36"/>
        </w:rPr>
      </w:pPr>
      <w:r>
        <w:rPr>
          <w:rFonts w:hint="eastAsia" w:ascii="宋体" w:hAnsi="宋体" w:eastAsia="宋体" w:cs="宋体"/>
          <w:b/>
          <w:color w:val="auto"/>
          <w:sz w:val="36"/>
          <w:szCs w:val="36"/>
        </w:rPr>
        <w:t>代理机构：福建华真招标代理有限公司</w:t>
      </w:r>
    </w:p>
    <w:p w14:paraId="3C428570">
      <w:pPr>
        <w:pStyle w:val="11"/>
        <w:spacing w:line="360" w:lineRule="auto"/>
        <w:jc w:val="center"/>
        <w:outlineLvl w:val="2"/>
        <w:rPr>
          <w:rFonts w:hint="eastAsia" w:ascii="宋体" w:hAnsi="宋体" w:eastAsia="宋体" w:cs="宋体"/>
          <w:color w:val="auto"/>
          <w:sz w:val="36"/>
          <w:szCs w:val="36"/>
          <w:lang w:val="en-US" w:eastAsia="zh-CN"/>
        </w:rPr>
      </w:pPr>
      <w:r>
        <w:rPr>
          <w:rFonts w:hint="eastAsia" w:ascii="宋体" w:hAnsi="宋体" w:eastAsia="宋体" w:cs="宋体"/>
          <w:b/>
          <w:color w:val="auto"/>
          <w:sz w:val="36"/>
          <w:szCs w:val="36"/>
        </w:rPr>
        <w:t>编制时间：</w:t>
      </w:r>
      <w:r>
        <w:rPr>
          <w:rFonts w:hint="eastAsia" w:ascii="宋体" w:hAnsi="宋体" w:eastAsia="宋体" w:cs="宋体"/>
          <w:b/>
          <w:color w:val="auto"/>
          <w:sz w:val="36"/>
          <w:szCs w:val="36"/>
          <w:lang w:val="en-US" w:eastAsia="zh-CN"/>
        </w:rPr>
        <w:t>2026年9月</w:t>
      </w:r>
    </w:p>
    <w:p w14:paraId="3C6E0D87">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1640576B">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第一章 投标邀请</w:t>
      </w:r>
    </w:p>
    <w:p w14:paraId="28A7E79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福建华真招标代理有限公司 采用公开招标方式组织 建设有限空间“一险一码”平台 （以下简称：“本项目”）的政府采购活动，现邀请供应商参加投标。</w:t>
      </w:r>
    </w:p>
    <w:p w14:paraId="30227FC6">
      <w:pPr>
        <w:pStyle w:val="11"/>
        <w:ind w:firstLine="480"/>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1、备案编号：CGXM-2026-350001-06817[2026]05378</w:t>
      </w:r>
    </w:p>
    <w:p w14:paraId="201731CC">
      <w:pPr>
        <w:pStyle w:val="11"/>
        <w:ind w:firstLine="480"/>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2、项目编号：[350001]HZZB[GK]2026003</w:t>
      </w:r>
    </w:p>
    <w:p w14:paraId="6098DFA2">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3、预算金额、最高限价：详见《采购标的一览表》。</w:t>
      </w:r>
    </w:p>
    <w:p w14:paraId="6B142AD3">
      <w:pPr>
        <w:pStyle w:val="11"/>
        <w:ind w:firstLine="480"/>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4、招标内容及要求：详见《采购标的一览表》及招标文件第五章。</w:t>
      </w:r>
    </w:p>
    <w:p w14:paraId="28D32566">
      <w:pPr>
        <w:pStyle w:val="11"/>
        <w:ind w:firstLine="480"/>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5、需要落实的政府采购政策</w:t>
      </w:r>
    </w:p>
    <w:p w14:paraId="1EA808AD">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进口产品：不适用于本项目</w:t>
      </w:r>
    </w:p>
    <w:p w14:paraId="24054F73">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节能产品：适用于本项目</w:t>
      </w:r>
    </w:p>
    <w:p w14:paraId="1718AFAE">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环境标志产品：适用于本项目</w:t>
      </w:r>
    </w:p>
    <w:p w14:paraId="0D64E604">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促进中小企业发展的相关政策：</w:t>
      </w:r>
    </w:p>
    <w:p w14:paraId="53DAE3DB">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采购包1：不专门面向中小企业采购</w:t>
      </w:r>
    </w:p>
    <w:p w14:paraId="76507E50">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6、投标人的资格要求</w:t>
      </w:r>
    </w:p>
    <w:p w14:paraId="75CA4965">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6.1法定条件：符合政府采购法第二十二条第一款规定的条件。</w:t>
      </w:r>
    </w:p>
    <w:p w14:paraId="793442F1">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6.2特定条件：</w:t>
      </w:r>
    </w:p>
    <w:p w14:paraId="5349AFD5">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7"/>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12"/>
        <w:gridCol w:w="6307"/>
      </w:tblGrid>
      <w:tr w14:paraId="576378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8" w:type="pct"/>
          </w:tcPr>
          <w:p w14:paraId="7DE955D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资格审查要求概况</w:t>
            </w:r>
          </w:p>
        </w:tc>
        <w:tc>
          <w:tcPr>
            <w:tcW w:w="3701" w:type="pct"/>
          </w:tcPr>
          <w:p w14:paraId="79C41F4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14:paraId="0E602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98" w:type="pct"/>
          </w:tcPr>
          <w:p w14:paraId="35FCFDB9">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资格承诺函</w:t>
            </w:r>
          </w:p>
        </w:tc>
        <w:tc>
          <w:tcPr>
            <w:tcW w:w="3701" w:type="pct"/>
          </w:tcPr>
          <w:p w14:paraId="179C2280">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根据《福建省财政厅关于印发推行政府采购供应商资格承诺制指导意见的通知》（闽财购〔2024〕6号），参加本项目投标的投标人提供《政府采购供应商资格承诺函》（格式见附件）的，在投标（响应）文件中可不提供《中华人民共和国政府采购法实施条例》第十七条第一款规定的资格条件证明材料（证明材料指法人或者其他组织的营业执照等证明文件、财务状况报告证明文件、依法缴纳税收和社会保障资金的证明文件、具备履行合同所必需设备和专业技术能力的声明函、参加政府采购活动前3年内在经营活动中没有重大违法记录的书面声明），若不提供本承诺函的，应按招标文件要求提供相应的证明材料。投标人应对其承诺内容的真实性、合法性、有效性负责，不得作出虚假承诺，承诺不实的，属于提供虚假材料谋取中标、成交，依法追究相关的法律责任。</w:t>
            </w:r>
          </w:p>
        </w:tc>
      </w:tr>
    </w:tbl>
    <w:p w14:paraId="1A67778E">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6.3是否接受联合体投标：</w:t>
      </w:r>
    </w:p>
    <w:p w14:paraId="29143BE8">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采购包1：不接受</w:t>
      </w:r>
    </w:p>
    <w:p w14:paraId="549AA2A7">
      <w:pPr>
        <w:pStyle w:val="11"/>
        <w:ind w:firstLine="480"/>
        <w:jc w:val="both"/>
        <w:rPr>
          <w:rFonts w:hint="eastAsia" w:ascii="宋体" w:hAnsi="宋体" w:eastAsia="宋体" w:cs="宋体"/>
          <w:color w:val="auto"/>
          <w:sz w:val="24"/>
          <w:szCs w:val="24"/>
        </w:rPr>
      </w:pPr>
      <w:r>
        <w:rPr>
          <w:rFonts w:hint="eastAsia" w:ascii="宋体" w:hAnsi="宋体" w:eastAsia="宋体" w:cs="宋体"/>
          <w:b/>
          <w:color w:val="auto"/>
          <w:sz w:val="24"/>
          <w:szCs w:val="24"/>
        </w:rPr>
        <w:t>※根据上述资格要求，电子投标文件中应提交的“投标人的资格及资信证明文件”详见招标文件第四章。</w:t>
      </w:r>
    </w:p>
    <w:p w14:paraId="7B7261CD">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7、招标文件的获取</w:t>
      </w:r>
    </w:p>
    <w:p w14:paraId="7F80B183">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7.1、招标文件获取期限：详见招标公告或更正公告，若不一致，以更正公告为准。</w:t>
      </w:r>
    </w:p>
    <w:p w14:paraId="4864F14E">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7.2、在招标文件获取期限内，供应商应通过福建省政府采购网上公开信息系统的注册账号（免费注册）并获取招标文件(登录福建省政府采购网上公开信息系统进行文件获取)，否则投标将被拒绝。</w:t>
      </w:r>
    </w:p>
    <w:p w14:paraId="11769FFC">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7.3、获取地点及方式：注册账号后，通过福建省政府采购网上公开信息系统以下载方式获取。</w:t>
      </w:r>
    </w:p>
    <w:p w14:paraId="4C5797CC">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7.4、招标文件售价：0元。</w:t>
      </w:r>
    </w:p>
    <w:p w14:paraId="5A4DCB8F">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8、投标截止</w:t>
      </w:r>
    </w:p>
    <w:p w14:paraId="20BFF88F">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8.1、投标截止时间：详见招标公告或更正公告，若不一致，以更正公告为准。</w:t>
      </w:r>
    </w:p>
    <w:p w14:paraId="4FD21F86">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8.2、投标人应在投标截止时间前按照福建省政府采购网上公开信息系统设定的操作流程将电子投标文件上传至福建省政府采购网上公开信息系统，否则投标将被拒绝。</w:t>
      </w:r>
    </w:p>
    <w:p w14:paraId="34AC4078">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9、开标时间及地点</w:t>
      </w:r>
    </w:p>
    <w:p w14:paraId="4241C221">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详见招标公告或更正公告，若不一致，以更正公告为准。</w:t>
      </w:r>
    </w:p>
    <w:p w14:paraId="681850FB">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10、公告期限</w:t>
      </w:r>
    </w:p>
    <w:p w14:paraId="1C8F254D">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10.1、招标公告的公告期限：自财政部和福建省财政厅指定的政府采购信息发布媒体最先发布公告之日起5个工作日。</w:t>
      </w:r>
    </w:p>
    <w:p w14:paraId="5F4756D9">
      <w:pPr>
        <w:pStyle w:val="11"/>
        <w:ind w:firstLine="960"/>
        <w:jc w:val="both"/>
        <w:rPr>
          <w:rFonts w:hint="eastAsia" w:ascii="宋体" w:hAnsi="宋体" w:eastAsia="宋体" w:cs="宋体"/>
          <w:color w:val="auto"/>
          <w:sz w:val="24"/>
          <w:szCs w:val="24"/>
        </w:rPr>
      </w:pPr>
      <w:r>
        <w:rPr>
          <w:rFonts w:hint="eastAsia" w:ascii="宋体" w:hAnsi="宋体" w:eastAsia="宋体" w:cs="宋体"/>
          <w:color w:val="auto"/>
          <w:sz w:val="24"/>
          <w:szCs w:val="24"/>
        </w:rPr>
        <w:t>10.2、招标文件公告期限：招标文件随同招标公告一并发布，其公告期限与招标公告的公告期限保持一致。</w:t>
      </w:r>
    </w:p>
    <w:p w14:paraId="2A541451">
      <w:pPr>
        <w:pStyle w:val="11"/>
        <w:ind w:firstLine="480"/>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11、采购人：福建省应急管理厅</w:t>
      </w:r>
    </w:p>
    <w:p w14:paraId="0D43708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地址：福州市东大路73号1号楼</w:t>
      </w:r>
    </w:p>
    <w:p w14:paraId="1968882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邮编：350001</w:t>
      </w:r>
    </w:p>
    <w:p w14:paraId="5B2573F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联系人：邱昊天</w:t>
      </w:r>
    </w:p>
    <w:p w14:paraId="5070394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联系电话：0591-87620575</w:t>
      </w:r>
    </w:p>
    <w:p w14:paraId="23A76300">
      <w:pPr>
        <w:pStyle w:val="11"/>
        <w:ind w:firstLine="480"/>
        <w:jc w:val="left"/>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12、代理机构：福建华真招标代理有限公司</w:t>
      </w:r>
    </w:p>
    <w:p w14:paraId="7A8A7060">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地址：福建省福州市鼓楼区洪山镇洪山园路52号（原工业路东侧、福三路北侧洪山园地块)华润万象城（三期）S11#楼3层07-13、15办公</w:t>
      </w:r>
    </w:p>
    <w:p w14:paraId="1235DB81">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邮编：350000</w:t>
      </w:r>
    </w:p>
    <w:p w14:paraId="7C781C3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联系人：翁晓倩、陈真、吴明玲、林美珍</w:t>
      </w:r>
    </w:p>
    <w:p w14:paraId="735C9B1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联系电话：0591-38165630-7（财务：0591-28331909）</w:t>
      </w:r>
    </w:p>
    <w:p w14:paraId="399F8A74">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附1：账户信息</w:t>
      </w:r>
    </w:p>
    <w:tbl>
      <w:tblPr>
        <w:tblStyle w:val="7"/>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22"/>
      </w:tblGrid>
      <w:tr w14:paraId="6EF0B0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015C99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投标保证金账户</w:t>
            </w:r>
          </w:p>
          <w:p w14:paraId="71D2E1EF">
            <w:pPr>
              <w:pStyle w:val="11"/>
              <w:jc w:val="left"/>
              <w:rPr>
                <w:rFonts w:hint="eastAsia" w:ascii="宋体" w:hAnsi="宋体" w:eastAsia="宋体" w:cs="宋体"/>
                <w:color w:val="auto"/>
                <w:sz w:val="24"/>
                <w:szCs w:val="24"/>
              </w:rPr>
            </w:pPr>
          </w:p>
        </w:tc>
      </w:tr>
      <w:tr w14:paraId="6986F3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0C80F06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开户名称： 福建华真招标代理有限公司</w:t>
            </w:r>
          </w:p>
        </w:tc>
      </w:tr>
      <w:tr w14:paraId="3051B1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6BC998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开户银行：供应商在福建省政府采购网上公开信息系统获取招标文件后，根据其提示自行选择要缴交的投标保证金托管银行。</w:t>
            </w:r>
          </w:p>
        </w:tc>
      </w:tr>
      <w:tr w14:paraId="041760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1B02B3A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644B07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3B86385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特别提示</w:t>
            </w:r>
          </w:p>
        </w:tc>
      </w:tr>
      <w:tr w14:paraId="0E7C27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21AFE18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1、投标人应认真核对账户信息，将投标保证金汇入以上账户，并自行承担因汇错投标保证金而产生的一切后果。</w:t>
            </w:r>
          </w:p>
          <w:p w14:paraId="79D72C6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2、投标人在转账或电汇的凭证上应按照以下格式注明，以便核对：“（项目编号：***）的投标保证金”。</w:t>
            </w:r>
          </w:p>
        </w:tc>
      </w:tr>
    </w:tbl>
    <w:p w14:paraId="5A5D50B2">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附2：采购标的一览表</w:t>
      </w:r>
    </w:p>
    <w:p w14:paraId="7936464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14:paraId="71B1B3A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采购包预算金额（元）: 10,000,000.00</w:t>
      </w:r>
    </w:p>
    <w:p w14:paraId="5DA69C5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采购包最高限价（元）: 10,000,000.00</w:t>
      </w:r>
    </w:p>
    <w:p w14:paraId="2C31E98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采购包保证金金额（元）: </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00,00</w:t>
      </w:r>
      <w:r>
        <w:rPr>
          <w:rFonts w:hint="eastAsia" w:ascii="宋体" w:hAnsi="宋体" w:eastAsia="宋体" w:cs="宋体"/>
          <w:color w:val="auto"/>
          <w:sz w:val="24"/>
          <w:szCs w:val="24"/>
        </w:rPr>
        <w:t>0.00</w:t>
      </w:r>
    </w:p>
    <w:tbl>
      <w:tblPr>
        <w:tblStyle w:val="7"/>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99"/>
        <w:gridCol w:w="1351"/>
        <w:gridCol w:w="834"/>
        <w:gridCol w:w="1483"/>
        <w:gridCol w:w="1183"/>
        <w:gridCol w:w="1367"/>
        <w:gridCol w:w="1605"/>
      </w:tblGrid>
      <w:tr w14:paraId="2A14E1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0" w:type="pct"/>
          </w:tcPr>
          <w:p w14:paraId="3AF1B6D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792" w:type="pct"/>
          </w:tcPr>
          <w:p w14:paraId="5C5D059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标的名称</w:t>
            </w:r>
          </w:p>
        </w:tc>
        <w:tc>
          <w:tcPr>
            <w:tcW w:w="489" w:type="pct"/>
          </w:tcPr>
          <w:p w14:paraId="0508358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870" w:type="pct"/>
          </w:tcPr>
          <w:p w14:paraId="3AFAD55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标的金额 （元）</w:t>
            </w:r>
          </w:p>
        </w:tc>
        <w:tc>
          <w:tcPr>
            <w:tcW w:w="694" w:type="pct"/>
          </w:tcPr>
          <w:p w14:paraId="653C616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计量单位</w:t>
            </w:r>
          </w:p>
        </w:tc>
        <w:tc>
          <w:tcPr>
            <w:tcW w:w="802" w:type="pct"/>
          </w:tcPr>
          <w:p w14:paraId="770968E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所属行业</w:t>
            </w:r>
          </w:p>
        </w:tc>
        <w:tc>
          <w:tcPr>
            <w:tcW w:w="941" w:type="pct"/>
          </w:tcPr>
          <w:p w14:paraId="1D1A181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是否允许进口产品</w:t>
            </w:r>
          </w:p>
        </w:tc>
      </w:tr>
      <w:tr w14:paraId="193123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0" w:type="pct"/>
          </w:tcPr>
          <w:p w14:paraId="40052EA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792" w:type="pct"/>
          </w:tcPr>
          <w:p w14:paraId="7DB812A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建设有限空间“一险一码”平台</w:t>
            </w:r>
          </w:p>
        </w:tc>
        <w:tc>
          <w:tcPr>
            <w:tcW w:w="489" w:type="pct"/>
          </w:tcPr>
          <w:p w14:paraId="6D1846D3">
            <w:pPr>
              <w:pStyle w:val="11"/>
              <w:jc w:val="right"/>
              <w:rPr>
                <w:rFonts w:hint="eastAsia" w:ascii="宋体" w:hAnsi="宋体" w:eastAsia="宋体" w:cs="宋体"/>
                <w:color w:val="auto"/>
                <w:sz w:val="24"/>
                <w:szCs w:val="24"/>
              </w:rPr>
            </w:pPr>
            <w:r>
              <w:rPr>
                <w:rFonts w:hint="eastAsia" w:ascii="宋体" w:hAnsi="宋体" w:eastAsia="宋体" w:cs="宋体"/>
                <w:color w:val="auto"/>
                <w:sz w:val="24"/>
                <w:szCs w:val="24"/>
              </w:rPr>
              <w:t>1.00</w:t>
            </w:r>
          </w:p>
        </w:tc>
        <w:tc>
          <w:tcPr>
            <w:tcW w:w="870" w:type="pct"/>
          </w:tcPr>
          <w:p w14:paraId="4D50026F">
            <w:pPr>
              <w:pStyle w:val="11"/>
              <w:jc w:val="right"/>
              <w:rPr>
                <w:rFonts w:hint="eastAsia" w:ascii="宋体" w:hAnsi="宋体" w:eastAsia="宋体" w:cs="宋体"/>
                <w:color w:val="auto"/>
                <w:sz w:val="24"/>
                <w:szCs w:val="24"/>
              </w:rPr>
            </w:pPr>
            <w:r>
              <w:rPr>
                <w:rFonts w:hint="eastAsia" w:ascii="宋体" w:hAnsi="宋体" w:eastAsia="宋体" w:cs="宋体"/>
                <w:color w:val="auto"/>
                <w:sz w:val="24"/>
                <w:szCs w:val="24"/>
              </w:rPr>
              <w:t>10,000,000.00</w:t>
            </w:r>
          </w:p>
        </w:tc>
        <w:tc>
          <w:tcPr>
            <w:tcW w:w="694" w:type="pct"/>
          </w:tcPr>
          <w:p w14:paraId="62CDB9F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项</w:t>
            </w:r>
          </w:p>
        </w:tc>
        <w:tc>
          <w:tcPr>
            <w:tcW w:w="802" w:type="pct"/>
          </w:tcPr>
          <w:p w14:paraId="0526F82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软件和信息技术服务业</w:t>
            </w:r>
          </w:p>
        </w:tc>
        <w:tc>
          <w:tcPr>
            <w:tcW w:w="941" w:type="pct"/>
          </w:tcPr>
          <w:p w14:paraId="21726DE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否</w:t>
            </w:r>
          </w:p>
        </w:tc>
      </w:tr>
    </w:tbl>
    <w:p w14:paraId="21A28DD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14:paraId="51B76F9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（1）报价要求：</w:t>
      </w:r>
    </w:p>
    <w:tbl>
      <w:tblPr>
        <w:tblStyle w:val="7"/>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34"/>
        <w:gridCol w:w="1600"/>
        <w:gridCol w:w="1266"/>
        <w:gridCol w:w="1200"/>
        <w:gridCol w:w="1217"/>
        <w:gridCol w:w="1233"/>
        <w:gridCol w:w="1272"/>
      </w:tblGrid>
      <w:tr w14:paraId="4D9AB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30" w:type="pct"/>
          </w:tcPr>
          <w:p w14:paraId="3A98BF4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938" w:type="pct"/>
          </w:tcPr>
          <w:p w14:paraId="180D49A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报价内容</w:t>
            </w:r>
          </w:p>
        </w:tc>
        <w:tc>
          <w:tcPr>
            <w:tcW w:w="742" w:type="pct"/>
          </w:tcPr>
          <w:p w14:paraId="25FAE93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计量单位</w:t>
            </w:r>
          </w:p>
        </w:tc>
        <w:tc>
          <w:tcPr>
            <w:tcW w:w="704" w:type="pct"/>
          </w:tcPr>
          <w:p w14:paraId="2FED9FE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报价单位</w:t>
            </w:r>
          </w:p>
        </w:tc>
        <w:tc>
          <w:tcPr>
            <w:tcW w:w="714" w:type="pct"/>
          </w:tcPr>
          <w:p w14:paraId="313F93C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最高限价</w:t>
            </w:r>
          </w:p>
        </w:tc>
        <w:tc>
          <w:tcPr>
            <w:tcW w:w="723" w:type="pct"/>
          </w:tcPr>
          <w:p w14:paraId="4A4DA43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价款形式</w:t>
            </w:r>
          </w:p>
        </w:tc>
        <w:tc>
          <w:tcPr>
            <w:tcW w:w="746" w:type="pct"/>
          </w:tcPr>
          <w:p w14:paraId="7D33E7F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报价说明</w:t>
            </w:r>
          </w:p>
        </w:tc>
      </w:tr>
      <w:tr w14:paraId="19970A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30" w:type="pct"/>
          </w:tcPr>
          <w:p w14:paraId="73D06EA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938" w:type="pct"/>
          </w:tcPr>
          <w:p w14:paraId="35ED068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建设有限空间“一险一码”平台</w:t>
            </w:r>
          </w:p>
        </w:tc>
        <w:tc>
          <w:tcPr>
            <w:tcW w:w="742" w:type="pct"/>
          </w:tcPr>
          <w:p w14:paraId="15594F4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项</w:t>
            </w:r>
          </w:p>
        </w:tc>
        <w:tc>
          <w:tcPr>
            <w:tcW w:w="704" w:type="pct"/>
          </w:tcPr>
          <w:p w14:paraId="258B740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元</w:t>
            </w:r>
          </w:p>
        </w:tc>
        <w:tc>
          <w:tcPr>
            <w:tcW w:w="714" w:type="pct"/>
          </w:tcPr>
          <w:p w14:paraId="18DD28CD">
            <w:pPr>
              <w:pStyle w:val="11"/>
              <w:jc w:val="right"/>
              <w:rPr>
                <w:rFonts w:hint="eastAsia" w:ascii="宋体" w:hAnsi="宋体" w:eastAsia="宋体" w:cs="宋体"/>
                <w:color w:val="auto"/>
                <w:sz w:val="24"/>
                <w:szCs w:val="24"/>
              </w:rPr>
            </w:pPr>
            <w:r>
              <w:rPr>
                <w:rFonts w:hint="eastAsia" w:ascii="宋体" w:hAnsi="宋体" w:eastAsia="宋体" w:cs="宋体"/>
                <w:color w:val="auto"/>
                <w:sz w:val="24"/>
                <w:szCs w:val="24"/>
              </w:rPr>
              <w:t>10,000,000.00</w:t>
            </w:r>
          </w:p>
        </w:tc>
        <w:tc>
          <w:tcPr>
            <w:tcW w:w="723" w:type="pct"/>
          </w:tcPr>
          <w:p w14:paraId="30E407C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总价</w:t>
            </w:r>
          </w:p>
        </w:tc>
        <w:tc>
          <w:tcPr>
            <w:tcW w:w="746" w:type="pct"/>
          </w:tcPr>
          <w:p w14:paraId="51623C6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r>
    </w:tbl>
    <w:p w14:paraId="7E9D176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（2）报价明细要求：</w:t>
      </w:r>
    </w:p>
    <w:p w14:paraId="40233F8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建设有限空间“一险一码”平台</w:t>
      </w:r>
    </w:p>
    <w:tbl>
      <w:tblPr>
        <w:tblStyle w:val="7"/>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55"/>
        <w:gridCol w:w="1777"/>
        <w:gridCol w:w="1602"/>
        <w:gridCol w:w="750"/>
        <w:gridCol w:w="766"/>
        <w:gridCol w:w="1200"/>
        <w:gridCol w:w="897"/>
        <w:gridCol w:w="1075"/>
      </w:tblGrid>
      <w:tr w14:paraId="7415D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4C20D7B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042" w:type="pct"/>
          </w:tcPr>
          <w:p w14:paraId="0662C60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报价明细内容</w:t>
            </w:r>
          </w:p>
        </w:tc>
        <w:tc>
          <w:tcPr>
            <w:tcW w:w="939" w:type="pct"/>
          </w:tcPr>
          <w:p w14:paraId="16B2949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报价要求</w:t>
            </w:r>
          </w:p>
        </w:tc>
        <w:tc>
          <w:tcPr>
            <w:tcW w:w="440" w:type="pct"/>
          </w:tcPr>
          <w:p w14:paraId="6286E49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计量单位</w:t>
            </w:r>
          </w:p>
        </w:tc>
        <w:tc>
          <w:tcPr>
            <w:tcW w:w="449" w:type="pct"/>
          </w:tcPr>
          <w:p w14:paraId="39B85FD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报价单位</w:t>
            </w:r>
          </w:p>
        </w:tc>
        <w:tc>
          <w:tcPr>
            <w:tcW w:w="704" w:type="pct"/>
          </w:tcPr>
          <w:p w14:paraId="2570E46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最高限价</w:t>
            </w:r>
          </w:p>
        </w:tc>
        <w:tc>
          <w:tcPr>
            <w:tcW w:w="526" w:type="pct"/>
          </w:tcPr>
          <w:p w14:paraId="4B234C6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价款形式</w:t>
            </w:r>
          </w:p>
        </w:tc>
        <w:tc>
          <w:tcPr>
            <w:tcW w:w="630" w:type="pct"/>
          </w:tcPr>
          <w:p w14:paraId="2139B13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报价说明</w:t>
            </w:r>
          </w:p>
        </w:tc>
      </w:tr>
      <w:tr w14:paraId="5F82C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66" w:type="pct"/>
          </w:tcPr>
          <w:p w14:paraId="6448540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042" w:type="pct"/>
          </w:tcPr>
          <w:p w14:paraId="37D1A17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建设有限空间“一险一码”平台</w:t>
            </w:r>
          </w:p>
        </w:tc>
        <w:tc>
          <w:tcPr>
            <w:tcW w:w="939" w:type="pct"/>
          </w:tcPr>
          <w:p w14:paraId="0CDA243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建设有限空间“一险一码”平台</w:t>
            </w:r>
          </w:p>
        </w:tc>
        <w:tc>
          <w:tcPr>
            <w:tcW w:w="440" w:type="pct"/>
          </w:tcPr>
          <w:p w14:paraId="3948F95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项</w:t>
            </w:r>
          </w:p>
        </w:tc>
        <w:tc>
          <w:tcPr>
            <w:tcW w:w="449" w:type="pct"/>
          </w:tcPr>
          <w:p w14:paraId="6144F2B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元</w:t>
            </w:r>
          </w:p>
        </w:tc>
        <w:tc>
          <w:tcPr>
            <w:tcW w:w="704" w:type="pct"/>
          </w:tcPr>
          <w:p w14:paraId="3006B844">
            <w:pPr>
              <w:pStyle w:val="11"/>
              <w:jc w:val="right"/>
              <w:rPr>
                <w:rFonts w:hint="eastAsia" w:ascii="宋体" w:hAnsi="宋体" w:eastAsia="宋体" w:cs="宋体"/>
                <w:color w:val="auto"/>
                <w:sz w:val="24"/>
                <w:szCs w:val="24"/>
              </w:rPr>
            </w:pPr>
            <w:r>
              <w:rPr>
                <w:rFonts w:hint="eastAsia" w:ascii="宋体" w:hAnsi="宋体" w:eastAsia="宋体" w:cs="宋体"/>
                <w:color w:val="auto"/>
                <w:sz w:val="24"/>
                <w:szCs w:val="24"/>
              </w:rPr>
              <w:t>10,000,000.00</w:t>
            </w:r>
          </w:p>
        </w:tc>
        <w:tc>
          <w:tcPr>
            <w:tcW w:w="526" w:type="pct"/>
          </w:tcPr>
          <w:p w14:paraId="1CFA76F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总价</w:t>
            </w:r>
          </w:p>
        </w:tc>
        <w:tc>
          <w:tcPr>
            <w:tcW w:w="630" w:type="pct"/>
          </w:tcPr>
          <w:p w14:paraId="3602903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tc>
      </w:tr>
    </w:tbl>
    <w:p w14:paraId="096855B4">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04D809C">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第二章 投标人须知前附表</w:t>
      </w:r>
    </w:p>
    <w:p w14:paraId="52B6F2CC">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一、投标人须知前附表1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7"/>
        <w:gridCol w:w="1433"/>
        <w:gridCol w:w="6372"/>
      </w:tblGrid>
      <w:tr w14:paraId="0F9D2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22" w:type="dxa"/>
            <w:gridSpan w:val="3"/>
          </w:tcPr>
          <w:p w14:paraId="744DA1F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特别提示：本表与招标文件对应章节的内容若不一致，以本表为准。</w:t>
            </w:r>
          </w:p>
        </w:tc>
      </w:tr>
      <w:tr w14:paraId="65FB2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4AED9BF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433" w:type="dxa"/>
          </w:tcPr>
          <w:p w14:paraId="5BB1E76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招标文件</w:t>
            </w:r>
          </w:p>
          <w:p w14:paraId="5E31025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（第三章）</w:t>
            </w:r>
          </w:p>
        </w:tc>
        <w:tc>
          <w:tcPr>
            <w:tcW w:w="6372" w:type="dxa"/>
          </w:tcPr>
          <w:p w14:paraId="448613A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1341AE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3712287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433" w:type="dxa"/>
          </w:tcPr>
          <w:p w14:paraId="5CD74BB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6.1</w:t>
            </w:r>
          </w:p>
        </w:tc>
        <w:tc>
          <w:tcPr>
            <w:tcW w:w="6372" w:type="dxa"/>
          </w:tcPr>
          <w:p w14:paraId="0657689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是否组织现场考察或召开开标前答疑会：</w:t>
            </w:r>
          </w:p>
          <w:p w14:paraId="77B958B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采购包1：不组织</w:t>
            </w:r>
          </w:p>
        </w:tc>
      </w:tr>
      <w:tr w14:paraId="42612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388BC6B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433" w:type="dxa"/>
          </w:tcPr>
          <w:p w14:paraId="31AA6BE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10.4</w:t>
            </w:r>
          </w:p>
        </w:tc>
        <w:tc>
          <w:tcPr>
            <w:tcW w:w="6372" w:type="dxa"/>
          </w:tcPr>
          <w:p w14:paraId="753ECD5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投标文件的份数：</w:t>
            </w:r>
          </w:p>
          <w:p w14:paraId="6A0CB22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（1）可读介质（光盘或U盘） 0 份：投标人应将其上传至福建省政府采购网上公开信息系统的电子投标文件在该可读介质中另存 0 份。</w:t>
            </w:r>
          </w:p>
          <w:p w14:paraId="34E6C93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（2）电子投标文件：详见投标人须知前附表2《关于电子招标投标活动的专门规定》。</w:t>
            </w:r>
          </w:p>
        </w:tc>
      </w:tr>
      <w:tr w14:paraId="7EDD9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6FE6972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433" w:type="dxa"/>
          </w:tcPr>
          <w:p w14:paraId="4F74A38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10.7-（1）</w:t>
            </w:r>
          </w:p>
        </w:tc>
        <w:tc>
          <w:tcPr>
            <w:tcW w:w="6372" w:type="dxa"/>
          </w:tcPr>
          <w:p w14:paraId="0314C40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是否允许中标人将本项目的非主体、非关键性工作进行分包：</w:t>
            </w:r>
          </w:p>
          <w:p w14:paraId="71C824C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采购包1：不允许合同分包；</w:t>
            </w:r>
          </w:p>
        </w:tc>
      </w:tr>
      <w:tr w14:paraId="3D86C0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694BD69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433" w:type="dxa"/>
          </w:tcPr>
          <w:p w14:paraId="02F3087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10.8-（1）</w:t>
            </w:r>
          </w:p>
        </w:tc>
        <w:tc>
          <w:tcPr>
            <w:tcW w:w="6372" w:type="dxa"/>
          </w:tcPr>
          <w:p w14:paraId="4199584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投标有效期：投标截止时间起 90 个日历日。</w:t>
            </w:r>
          </w:p>
        </w:tc>
      </w:tr>
      <w:tr w14:paraId="31C48E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01893C0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433" w:type="dxa"/>
          </w:tcPr>
          <w:p w14:paraId="2B05C23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12.1</w:t>
            </w:r>
          </w:p>
        </w:tc>
        <w:tc>
          <w:tcPr>
            <w:tcW w:w="6372" w:type="dxa"/>
          </w:tcPr>
          <w:p w14:paraId="5BB0C19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确定中标候选人名单：</w:t>
            </w:r>
          </w:p>
          <w:p w14:paraId="145DDE7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采购包1：1名</w:t>
            </w:r>
          </w:p>
        </w:tc>
      </w:tr>
      <w:tr w14:paraId="225F68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59E0BF7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433" w:type="dxa"/>
          </w:tcPr>
          <w:p w14:paraId="4BC61D4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12.2</w:t>
            </w:r>
          </w:p>
        </w:tc>
        <w:tc>
          <w:tcPr>
            <w:tcW w:w="6372" w:type="dxa"/>
          </w:tcPr>
          <w:p w14:paraId="3155680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本项目中标人的确定（以采购包为单位）：</w:t>
            </w:r>
          </w:p>
          <w:p w14:paraId="677C89E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 采购人应在政府采购招投标管理办法规定的时限内确定中标人。</w:t>
            </w:r>
          </w:p>
          <w:p w14:paraId="48E6A7E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（2）若出现中标候选人并列情形，则按照下列方式确定中标人：</w:t>
            </w:r>
          </w:p>
          <w:p w14:paraId="076EDAB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①招标文件规定的方式：</w:t>
            </w:r>
          </w:p>
          <w:p w14:paraId="413C164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若中标候选人并列的（评审得分相同），则按“价格项”的得分高低排序；若投标人的评审得分相同且价格项得分也相同的，则按“技术项”的得分高低排序；若评审得分相同且价格项与技术项得分也相同的，则按“商务项”的得分高低排序；若评审得分相同、价格项得分相同且技术项得分与商务项得分也相同的，则采取随机抽取的先后顺序进行排序。采购人将确定排序第一的中标候选人为中标人。</w:t>
            </w:r>
          </w:p>
          <w:p w14:paraId="64D5036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②若本款第①点规定方式为“无”，则按照下列方式确定：</w:t>
            </w:r>
          </w:p>
          <w:p w14:paraId="5CEBCAF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p w14:paraId="1E8FDC6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③若本款第①、②点规定方式均为“无”，则按照下列方式确定：随机抽取。</w:t>
            </w:r>
          </w:p>
          <w:p w14:paraId="6BF5C43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（3）本项目确定的中标人家数：</w:t>
            </w:r>
          </w:p>
          <w:p w14:paraId="57AE863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采购包1：1名</w:t>
            </w:r>
          </w:p>
        </w:tc>
      </w:tr>
      <w:tr w14:paraId="1269D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018901D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433" w:type="dxa"/>
          </w:tcPr>
          <w:p w14:paraId="0CFC69E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13.2</w:t>
            </w:r>
          </w:p>
        </w:tc>
        <w:tc>
          <w:tcPr>
            <w:tcW w:w="6372" w:type="dxa"/>
          </w:tcPr>
          <w:p w14:paraId="210DA84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合同签订时限： 自中标通知书发出之日起30个日历日内。</w:t>
            </w:r>
          </w:p>
        </w:tc>
      </w:tr>
      <w:tr w14:paraId="2E43B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7A3D699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433" w:type="dxa"/>
          </w:tcPr>
          <w:p w14:paraId="600C74F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15.1-（2）</w:t>
            </w:r>
          </w:p>
        </w:tc>
        <w:tc>
          <w:tcPr>
            <w:tcW w:w="6372" w:type="dxa"/>
          </w:tcPr>
          <w:p w14:paraId="7F87E75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质疑函原件应采用下列方式提交：书面形式。</w:t>
            </w:r>
          </w:p>
        </w:tc>
      </w:tr>
      <w:tr w14:paraId="694C10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58A2AD8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1433" w:type="dxa"/>
          </w:tcPr>
          <w:p w14:paraId="08CDA25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15.4</w:t>
            </w:r>
          </w:p>
        </w:tc>
        <w:tc>
          <w:tcPr>
            <w:tcW w:w="6372" w:type="dxa"/>
          </w:tcPr>
          <w:p w14:paraId="028FDF4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招标文件的质疑</w:t>
            </w:r>
          </w:p>
          <w:p w14:paraId="176DBF9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（1）潜在投标人可在质疑时效期间内对招标文件以书面形式提出质疑。</w:t>
            </w:r>
          </w:p>
          <w:p w14:paraId="3A2B847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（2）质疑时效期间：应在依法获取招标文件之日起7个工作日内向 福建华真招标代理有限公司 提出，依法获取招标文件的时间以福建省政府采购网上公开信息系统记载的为准。</w:t>
            </w:r>
          </w:p>
          <w:p w14:paraId="53F99C9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※除上述规定外，对招标文件提出的质疑还应符合招标文件第三章第15.1条的有关规定。</w:t>
            </w:r>
          </w:p>
        </w:tc>
      </w:tr>
      <w:tr w14:paraId="1B9D4B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09EA57D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1433" w:type="dxa"/>
          </w:tcPr>
          <w:p w14:paraId="6CA6944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16.1</w:t>
            </w:r>
          </w:p>
        </w:tc>
        <w:tc>
          <w:tcPr>
            <w:tcW w:w="6372" w:type="dxa"/>
          </w:tcPr>
          <w:p w14:paraId="1F9A0BB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监督管理部门： 福建省财政厅政府采购监督管理办公室 （仅限依法进行政府采购的货物或服务类项目）。</w:t>
            </w:r>
          </w:p>
        </w:tc>
      </w:tr>
      <w:tr w14:paraId="0708E8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22DC1E2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1433" w:type="dxa"/>
          </w:tcPr>
          <w:p w14:paraId="05D27E1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18.1</w:t>
            </w:r>
          </w:p>
        </w:tc>
        <w:tc>
          <w:tcPr>
            <w:tcW w:w="6372" w:type="dxa"/>
          </w:tcPr>
          <w:p w14:paraId="64EB89A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财政部和福建省财政厅指定的政府采购信息发布媒体（以下简称：“指定媒体”）：</w:t>
            </w:r>
          </w:p>
          <w:p w14:paraId="4233560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（1）中国政府采购网，网址www.ccgp.gov.cn。</w:t>
            </w:r>
          </w:p>
          <w:p w14:paraId="5FB1C55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（2）中国政府采购网福建分网（福建省政府采购网），网址zfcg.czt.fujian.gov.cn。</w:t>
            </w:r>
          </w:p>
          <w:p w14:paraId="030EAF7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※若出现上述指定媒体信息不一致情形，应以中国政府采购网福建分网（福建省政府采购网）发布的为准。</w:t>
            </w:r>
          </w:p>
        </w:tc>
      </w:tr>
      <w:tr w14:paraId="64DA46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0B74EB3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1433" w:type="dxa"/>
          </w:tcPr>
          <w:p w14:paraId="4865DAF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19</w:t>
            </w:r>
          </w:p>
        </w:tc>
        <w:tc>
          <w:tcPr>
            <w:tcW w:w="6372" w:type="dxa"/>
          </w:tcPr>
          <w:p w14:paraId="649FDA8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其他事项：</w:t>
            </w:r>
          </w:p>
          <w:p w14:paraId="5E0F5081">
            <w:pPr>
              <w:pStyle w:val="11"/>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(1)本项目代理服务费：</w:t>
            </w:r>
          </w:p>
          <w:p w14:paraId="3DE57AAA">
            <w:pPr>
              <w:pStyle w:val="11"/>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本项目收取代理服务费</w:t>
            </w:r>
          </w:p>
          <w:p w14:paraId="7BF2E9E6">
            <w:pPr>
              <w:pStyle w:val="11"/>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代理服务费用收取对象：中标/成交供应商</w:t>
            </w:r>
          </w:p>
          <w:p w14:paraId="628FE42E">
            <w:pPr>
              <w:pStyle w:val="11"/>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代理服务费收费标准：①根据中标金额以差额定率累进法计算,收费标准如下：100(万元)以下部分收费费率标准: 1.5%；100-500（万元）部分收费费率标准:0.8%；500－1000(万元)收费费率标准:0.45%；②中标人应在领取中标通知书前应先以转账或电汇付款方式一次性向招标代理机构缴纳招标代理服务费。③招标代理服务费缴交账户名：福建华真招标代理有限公司，开户行：招商银行股份有限公司福州仓山支行，账号：5919 0615 1310 806。④中标人应在领取中标通知书的同时提交2套的纸质投标文件（纸质投标文件应与电子投标文件一致）。</w:t>
            </w:r>
          </w:p>
          <w:p w14:paraId="274EA95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(2)其他：</w:t>
            </w:r>
          </w:p>
          <w:p w14:paraId="3361050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①投标人需在法定质疑期内一次性提出针对同一采购程序环节质疑，否则重复提交的质疑函将不予接收。 ②开具发票事宜： 1. 发票类型：本项目代理机构为中标/成交供应商开具增值税普通发票。 2. 开票前提：发票将在相关费用（如代理服务费等） 全额通过对公转账方式支付至我司指定账户后，依申请开具。 3. 信息准确性：中标/成交供应商有义务在申请开票时，提供准确无误的开票信息（包括但不限于单位名称、纳税人识别号、地址、电话、开户行及账号）。请务必仔细核对。因中标/成交供应商提供的开票信息有误导致发票内容错误的，我司有权要求中标/成交供应商收回原发票并重新提供准确信息，由此产生的换票、补开费用由中标/成交供应商承担。 4. 开票时效： 我司将在收到款项并确认开票信息后，在合理工作日内完成发票开具。</w:t>
            </w:r>
          </w:p>
        </w:tc>
      </w:tr>
      <w:tr w14:paraId="6C4EC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50" w:type="dxa"/>
            <w:gridSpan w:val="2"/>
          </w:tcPr>
          <w:p w14:paraId="0D12F04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6372" w:type="dxa"/>
          </w:tcPr>
          <w:p w14:paraId="76AF024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后有投标人须知前附表2，请勿遗漏。</w:t>
            </w:r>
          </w:p>
        </w:tc>
      </w:tr>
    </w:tbl>
    <w:p w14:paraId="64A34D69">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二、投标人须知前附表2</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4"/>
        <w:gridCol w:w="7522"/>
      </w:tblGrid>
      <w:tr w14:paraId="0C87AC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52D473A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关于电子招标投标活动的专门规定</w:t>
            </w:r>
          </w:p>
        </w:tc>
      </w:tr>
      <w:tr w14:paraId="58EB9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4" w:type="dxa"/>
          </w:tcPr>
          <w:p w14:paraId="151E5AC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7522" w:type="dxa"/>
          </w:tcPr>
          <w:p w14:paraId="7CC0EE0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编列内容</w:t>
            </w:r>
          </w:p>
        </w:tc>
      </w:tr>
      <w:tr w14:paraId="3ED9B5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4" w:type="dxa"/>
          </w:tcPr>
          <w:p w14:paraId="5038544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7522" w:type="dxa"/>
          </w:tcPr>
          <w:p w14:paraId="31FA934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（1）电子招标投标活动的专门规定适用本项目电子招标投标活动。</w:t>
            </w:r>
          </w:p>
          <w:p w14:paraId="7E9706F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（2）将招标文件</w:t>
            </w:r>
          </w:p>
          <w:p w14:paraId="4B453B2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无 的内容修正为下列内容：</w:t>
            </w:r>
          </w:p>
          <w:p w14:paraId="401676C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无 后适用本项目的电子招标投标活动。</w:t>
            </w:r>
          </w:p>
          <w:p w14:paraId="79695EE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（3）将下列内容增列为招标文件的组成部分（以下简称：“增列内容”）适用本项目的电子招标投标活动，若增列内容与招标文件其他章节内容有冲突，应以增列内容为准：</w:t>
            </w:r>
          </w:p>
          <w:p w14:paraId="72156A8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①电子招标投标活动的具体操作流程以福建省政府采购网上公开信息系统设定的为准。</w:t>
            </w:r>
          </w:p>
          <w:p w14:paraId="3B2E6EE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②关于电子投标文件：</w:t>
            </w:r>
          </w:p>
          <w:p w14:paraId="35AE4C8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a.投标人应按照福建省政府采购网上公开信息系统设定的评审节点编制电子投标文件，否则资格审查小组、评标委员会将按照不利于投标人的内容进行认定。</w:t>
            </w:r>
          </w:p>
          <w:p w14:paraId="311363C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0598130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③关于证明材料或资料：</w:t>
            </w:r>
          </w:p>
          <w:p w14:paraId="2F4DDCB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48C7A50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4F50A39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④关于“全称”、“投标人代表签字”及“加盖单位公章”：</w:t>
            </w:r>
          </w:p>
          <w:p w14:paraId="644CA5B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a.在电子投标文件中，涉及“全称”和“投标人代表签字”的内容可使用打字录入方式完成。</w:t>
            </w:r>
          </w:p>
          <w:p w14:paraId="2C584C4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b.在电子投标文件中，涉及“加盖单位公章”的内容应使用投标人的CA证书完成，否则投标无效。</w:t>
            </w:r>
          </w:p>
          <w:p w14:paraId="0168E8E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c.在电子投标文件中，若投标人按照本增列内容第④点第b项规定加盖其单位公章，则出现无全称、或投标人代表未签字等情形，不视为投标无效。</w:t>
            </w:r>
          </w:p>
          <w:p w14:paraId="1AF1FB6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⑤关于投标人的CA证书：</w:t>
            </w:r>
          </w:p>
          <w:p w14:paraId="71AA72B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a.投标人的CA证书应在系统规定时间内使用CA证书进行电子投标文件的解密操作，逾期未解密的视为放弃投标。</w:t>
            </w:r>
          </w:p>
          <w:p w14:paraId="55CDB66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b.投标人的CA证书可采用信封（包括但不限于：信封、档案袋、文件袋等）作为外包装进行单独包装。外包装密封、不密封皆可。</w:t>
            </w:r>
          </w:p>
          <w:p w14:paraId="261BB4B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c.投标人的CA证书或外包装应标记“项目名称、项目编号、投标人的全称”等内容，以方便识别、使用。</w:t>
            </w:r>
          </w:p>
          <w:p w14:paraId="37E85A0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d.投标人的CA证书应能正常、有效使用，否则产生不利后果由投标人承担责任。</w:t>
            </w:r>
          </w:p>
          <w:p w14:paraId="6950298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⑥关于投标截止时间过后</w:t>
            </w:r>
          </w:p>
          <w:p w14:paraId="43B426A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a.未按招标文件规定提交投标保证金的，其投标将按无效投标处理。</w:t>
            </w:r>
          </w:p>
          <w:p w14:paraId="16A0467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b.有下列情形之一的，其投标无效,其保证金不予退还或通过投标保函进行索赔：</w:t>
            </w:r>
          </w:p>
          <w:p w14:paraId="40B3FF6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b1不同投标人的电子投标文件具有相同内部识别码；</w:t>
            </w:r>
          </w:p>
          <w:p w14:paraId="63B240A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b2不同投标人的投标保证金从同一单位或个人的账户转出；</w:t>
            </w:r>
          </w:p>
          <w:p w14:paraId="585BE94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b3投标人的投标保证金同一采购包下有其他投标人提交的投标保证金；</w:t>
            </w:r>
          </w:p>
          <w:p w14:paraId="4FA3A92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b4不同投标人存在串通投标的其他情形。</w:t>
            </w:r>
          </w:p>
          <w:p w14:paraId="2604479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7838115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⑧其他：</w:t>
            </w:r>
          </w:p>
          <w:p w14:paraId="583CE42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（1）投标人的公司名称（系统注册名称）应与CA证书公司名称、电子投标文件投标人名称、保证金来源账户名称保持一致，否则视为投标无效，请各投标人注意。 （2）本项目允许投标人远程解密:a.通过远程参与开标流程的投标人，投标人可远程线上解密（相关操作手册可查看福建省政府采购网首页操作指南），现场参与开标流程的投标人请携带CA证书到开标现场进行解密，选择携带CA证书并由代理机构进行解密的应在投标截止时间前到达开标现场，否则不予接收。投标人选择远程线上解密的，无须将CA证书送至开标地点。b.投标人不到开标现场的，请在开标时自行登录采购系统，线上参与开标流程，并按规定在相应时段对投标文件进行远程解密、远程签章。c.投标人应确保自身设施、设备、网络环境状况良好，在操作过程中因投标人自身原因造成无法正常观看开标流程、远程解密或签章的，后果由投标人自行承担。d.在规定的时间内正确提交电子投标文件的投标人在开标时将由系统判定签到情况，投标人应在远程解密开启后在规定时间内使用CA数字证书进行投标文件的解密操作，逾期未解密的视为自行放弃投标。e.开标结束后，投标人应当对开标结果进行签章，并在远程签章开放后的规定时间内完成，逾期未签章的视为认同开标结果。f.远程解密及远程签章的开放起始时间均在开标过程中临时开启，解密时限规定为30分钟，签章时间为10分钟，请投标人务必密切关注实时开标流程，并根据流程在系统内按时操作，否则产生的后果由投标人自行承担。</w:t>
            </w:r>
          </w:p>
        </w:tc>
      </w:tr>
    </w:tbl>
    <w:p w14:paraId="51546B36">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FE3CE16">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第三章 投标人须知</w:t>
      </w:r>
    </w:p>
    <w:p w14:paraId="013B2BDE">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一、总则</w:t>
      </w:r>
    </w:p>
    <w:p w14:paraId="29AF651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1、适用范围</w:t>
      </w:r>
    </w:p>
    <w:p w14:paraId="6EA6C93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1.1适用于招标文件载明项目的政府采购活动（以下简称：“本次采购活动”）。</w:t>
      </w:r>
    </w:p>
    <w:p w14:paraId="1ED8C72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2、定义</w:t>
      </w:r>
    </w:p>
    <w:p w14:paraId="30FF8C2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2.1“采购标的”指招标文件载明的需要采购的货物或服务。</w:t>
      </w:r>
    </w:p>
    <w:p w14:paraId="07F7670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2.2“潜在投标人”指按照招标文件第一章第7条规定获取招标文件且有意向参加本项目投标的供应商。</w:t>
      </w:r>
    </w:p>
    <w:p w14:paraId="2947B67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2.3“投标人”指按照招标文件第一章第7条规定获取招标文件并参加本项目投标的供应商。</w:t>
      </w:r>
    </w:p>
    <w:p w14:paraId="282CBAE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2.4“单位负责人”指单位法定代表人或法律、法规规定代表单位行使职权的主要负责人。</w:t>
      </w:r>
    </w:p>
    <w:p w14:paraId="5A9CE01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2.5“投标人代表”指投标人的单位负责人或“单位负责人授权书”中载明的接受授权方。</w:t>
      </w:r>
    </w:p>
    <w:p w14:paraId="6BAE7283">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二、投标人</w:t>
      </w:r>
    </w:p>
    <w:p w14:paraId="6CB9D97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3、合格投标人</w:t>
      </w:r>
    </w:p>
    <w:p w14:paraId="4637A2D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3.1一般规定</w:t>
      </w:r>
    </w:p>
    <w:p w14:paraId="6940F5E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66ABC3C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0BE74DC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（2）投标人的资格要求：详见招标文件第一章。</w:t>
      </w:r>
    </w:p>
    <w:p w14:paraId="318493B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3.2若本项目接受联合体投标且投标人为联合体，则联合体各方应遵守本章第3.1条规定，同时还应遵守下列规定：</w:t>
      </w:r>
    </w:p>
    <w:p w14:paraId="15813D4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（1）联合体各方应提交联合体协议，联合体协议应符合招标文件规定。</w:t>
      </w:r>
    </w:p>
    <w:p w14:paraId="24102E0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（2）联合体各方不得再单独参加或与其他供应商另外组成联合体参加同一合同项下的投标。</w:t>
      </w:r>
    </w:p>
    <w:p w14:paraId="3292CD6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（3）联合体各方应共同与采购人签订政府采购合同，就政府采购合同约定的事项对采购人承担连带责任。</w:t>
      </w:r>
    </w:p>
    <w:p w14:paraId="65A9EA0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6026439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（5）联合体一方放弃中标的，视为联合体整体放弃中标，联合体各方承担连带责任。</w:t>
      </w:r>
    </w:p>
    <w:p w14:paraId="5FC7F54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（6）如本项目不接受联合体投标而投标人为联合体的，或者本项目接受联合体投标但投标人组成的联合体不符合本章第3.2条规定的，投标无效。</w:t>
      </w:r>
    </w:p>
    <w:p w14:paraId="492C424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4、投标费用</w:t>
      </w:r>
    </w:p>
    <w:p w14:paraId="46C552D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4.1除招标文件另有规定外，投标人应自行承担其参加本项目投标所涉及的一切费用。</w:t>
      </w:r>
    </w:p>
    <w:p w14:paraId="09947BF3">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三、招标</w:t>
      </w:r>
    </w:p>
    <w:p w14:paraId="00FC596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5、招标文件</w:t>
      </w:r>
    </w:p>
    <w:p w14:paraId="7FFFF38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5.1招标文件由下述部分组成：</w:t>
      </w:r>
    </w:p>
    <w:p w14:paraId="36FD16B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（1）投标邀请</w:t>
      </w:r>
    </w:p>
    <w:p w14:paraId="0F6AA5E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（2）投标人须知前附表（表1、2）</w:t>
      </w:r>
    </w:p>
    <w:p w14:paraId="373EB36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（3）投标人须知</w:t>
      </w:r>
    </w:p>
    <w:p w14:paraId="27FDEC6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（4）资格审查与评标</w:t>
      </w:r>
    </w:p>
    <w:p w14:paraId="78C3A56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（5）招标内容及要求</w:t>
      </w:r>
    </w:p>
    <w:p w14:paraId="1B225C8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（6）政府采购合同（参考文本）</w:t>
      </w:r>
    </w:p>
    <w:p w14:paraId="4C52D5F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（7）电子投标文件格式</w:t>
      </w:r>
    </w:p>
    <w:p w14:paraId="5D342F9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（8）按照招标文件规定作为招标文件组成部分的其他内容（若有）</w:t>
      </w:r>
    </w:p>
    <w:p w14:paraId="1E26BF7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5.2招标文件的澄清或修改</w:t>
      </w:r>
    </w:p>
    <w:p w14:paraId="26539EA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 福建华真招标代理有限公司 可对已发出的招标文件进行必要的澄清或修改，但不得对招标文件载明的采购标的和投标人的资格要求进行改变。</w:t>
      </w:r>
    </w:p>
    <w:p w14:paraId="47B6531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（2）除本章第5.2条第（3）款规定情形外，澄清或修改的内容可能影响电子投标文件编制的， 福建华真招标代理有限公司 将在投标截止时间至少15个日历日前，在招标文件载明的指定媒体以更正公告的形式发布澄清或修改的内容。不足15个日历日的， 福建华真招标代理有限公司 将顺延投标截止时间及开标时间， 福建华真招标代理有限公司 和投标人受原投标截止时间及开标时间制约的所有权利和义务均延长至新的投标截止时间及开标时间。</w:t>
      </w:r>
    </w:p>
    <w:p w14:paraId="004078E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（3）澄清或修改的内容可能改变招标文件载明的采购标的和投标人的资格要求的，本次采购活动结束， 福建华真招标代理有限公司 将依法组织后续采购活动（包括但不限于：重新招标、采用其他方式采购等）。</w:t>
      </w:r>
    </w:p>
    <w:p w14:paraId="6DF4779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6、现场考察或开标前答疑会</w:t>
      </w:r>
    </w:p>
    <w:p w14:paraId="6DAE264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6.1是否组织现场考察或召开开标前答疑会：详见招标文件第二章。</w:t>
      </w:r>
    </w:p>
    <w:p w14:paraId="5380722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7、更正公告</w:t>
      </w:r>
    </w:p>
    <w:p w14:paraId="6C80934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7.1若 福建华真招标代理有限公司 发布更正公告，则更正公告及其所发布的内容或信息（包括但不限于：招标文件的澄清或修改、现场考察或答疑会的有关事宜等）作为招标文件组成部分，对投标人具有约束力。</w:t>
      </w:r>
    </w:p>
    <w:p w14:paraId="5457F21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7.2更正公告作为 福建华真招标代理有限公司 通知所有潜在投标人的书面形式。</w:t>
      </w:r>
    </w:p>
    <w:p w14:paraId="0C1E596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8、终止公告</w:t>
      </w:r>
    </w:p>
    <w:p w14:paraId="7BCF406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8.1若出现因重大变故导致采购任务取消情形， 福建华真招标代理有限公司 可终止招标并发布终止公告。</w:t>
      </w:r>
    </w:p>
    <w:p w14:paraId="4995630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8.2终止公告作为 福建华真招标代理有限公司 通知所有潜在投标人的书面形式。</w:t>
      </w:r>
    </w:p>
    <w:p w14:paraId="63A517A1">
      <w:pPr>
        <w:pStyle w:val="11"/>
        <w:ind w:firstLine="480"/>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四、投标</w:t>
      </w:r>
    </w:p>
    <w:p w14:paraId="1DD4E5F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9、投标</w:t>
      </w:r>
    </w:p>
    <w:p w14:paraId="65DFFF8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9.1投标人可对招标文件载明的全部或部分采购包进行投标。</w:t>
      </w:r>
    </w:p>
    <w:p w14:paraId="5020C1B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9.2投标人应对同一个采购包内的所有内容进行完整投标，否则投标无效。</w:t>
      </w:r>
    </w:p>
    <w:p w14:paraId="1BF93D7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9.3投标人代表只能接受一个投标人的授权参加投标，否则投标无效。</w:t>
      </w:r>
    </w:p>
    <w:p w14:paraId="05984C6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9.4单位负责人为同一人或存在直接控股、管理关系的不同供应商，不得同时参加同一合同项下的投标，否则投标无效。</w:t>
      </w:r>
    </w:p>
    <w:p w14:paraId="40BB512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9.5为本项目提供整体设计、规范编制或项目管理、监理、检测等服务的供应商，不得参加本项目除整体设计、规范编制和项目管理、监理、检测等服务外的采购活动，否则投标无效。</w:t>
      </w:r>
    </w:p>
    <w:p w14:paraId="5451251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9.6列入失信被执行人、重大税收违法案件当事人名单、政府采购严重违法失信行为记录名单及其他不符合政府采购法第二十二条规定条件的供应商，不得参加投标，否则投标无效。</w:t>
      </w:r>
    </w:p>
    <w:p w14:paraId="56E7D95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9.7有下列情形之一的，视为投标人串通投标，其投标无效：</w:t>
      </w:r>
    </w:p>
    <w:p w14:paraId="7B0109A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（1）不同投标人的电子投标文件由同一单位或个人编制；</w:t>
      </w:r>
    </w:p>
    <w:p w14:paraId="53145B8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（2）不同投标人委托同一单位或个人办理投标事宜；</w:t>
      </w:r>
    </w:p>
    <w:p w14:paraId="4C3FA4D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（3）不同投标人的电子投标文件载明的项目管理成员或联系人员为同一人；</w:t>
      </w:r>
    </w:p>
    <w:p w14:paraId="6EC9337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（4）不同投标人的电子投标文件异常一致或投标报价呈规律性差异；</w:t>
      </w:r>
    </w:p>
    <w:p w14:paraId="162E27D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（5）不同投标人的电子投标文件相互混装；</w:t>
      </w:r>
    </w:p>
    <w:p w14:paraId="53C7DA4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（6）不同投标人的投标保证金从同一单位或个人的账户转出；</w:t>
      </w:r>
    </w:p>
    <w:p w14:paraId="28CD64D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（7）有关法律、法规和规章及招标文件规定的其他串通投标情形。</w:t>
      </w:r>
    </w:p>
    <w:p w14:paraId="50128AA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10、电子投标文件</w:t>
      </w:r>
    </w:p>
    <w:p w14:paraId="439714F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10.1电子投标文件的编制</w:t>
      </w:r>
    </w:p>
    <w:p w14:paraId="14CE288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（1）投标人应先仔细阅读招标文件的全部内容后，再进行电子投标文件的编制。</w:t>
      </w:r>
    </w:p>
    <w:p w14:paraId="74B9DD1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（2）电子投标文件应按照本章第10.2条规定编制其组成部分。</w:t>
      </w:r>
    </w:p>
    <w:p w14:paraId="6BD587C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6DD9261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10.2电子投标文件由下述部分组成：</w:t>
      </w:r>
    </w:p>
    <w:p w14:paraId="397322C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（1）资格及资信证明部分</w:t>
      </w:r>
    </w:p>
    <w:p w14:paraId="4143AE6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①投标函</w:t>
      </w:r>
    </w:p>
    <w:p w14:paraId="75B930E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②投标人的资格及资信证明文件</w:t>
      </w:r>
    </w:p>
    <w:p w14:paraId="1FA2F5C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③投标保证金</w:t>
      </w:r>
    </w:p>
    <w:p w14:paraId="42EA7F1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（2）报价部分</w:t>
      </w:r>
    </w:p>
    <w:p w14:paraId="32B41A3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①开标（报价）一览表</w:t>
      </w:r>
    </w:p>
    <w:p w14:paraId="418BFF7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②投标（响应）报价明细表</w:t>
      </w:r>
    </w:p>
    <w:p w14:paraId="7BEB00D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③招标文件规定的价格扣除证明材料（若有）</w:t>
      </w:r>
    </w:p>
    <w:p w14:paraId="4703364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④招标文件规定的加分证明材料（若有）</w:t>
      </w:r>
    </w:p>
    <w:p w14:paraId="4C90DC2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（3）技术商务部分</w:t>
      </w:r>
    </w:p>
    <w:p w14:paraId="24D3539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①标的说明一览表</w:t>
      </w:r>
    </w:p>
    <w:p w14:paraId="4048306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②技术和服务要求响应表</w:t>
      </w:r>
    </w:p>
    <w:p w14:paraId="2E31DC9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③商务条件响应表</w:t>
      </w:r>
    </w:p>
    <w:p w14:paraId="67F40C5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④投标人提交的其他资料（若有）</w:t>
      </w:r>
    </w:p>
    <w:p w14:paraId="62E9637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⑤招标文件规定作为电子投标文件组成部分的其他内容（若有）</w:t>
      </w:r>
    </w:p>
    <w:p w14:paraId="0E3E8D6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10.3电子投标文件的语言</w:t>
      </w:r>
    </w:p>
    <w:p w14:paraId="58FB4D6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（1）除招标文件另有规定外，电子投标文件应使用中文文本，若有不同文本，以中文文本为准。</w:t>
      </w:r>
    </w:p>
    <w:p w14:paraId="00C8CB7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017AC2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10.4投标文件的份数：详见招标文件第二章。</w:t>
      </w:r>
    </w:p>
    <w:p w14:paraId="28ED5E2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10.5电子投标文件的格式</w:t>
      </w:r>
    </w:p>
    <w:p w14:paraId="747001C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（1）除招标文件另有规定外，电子投标文件应使用招标文件第七章规定的格式。</w:t>
      </w:r>
    </w:p>
    <w:p w14:paraId="6CA1312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（2）除招标文件另有规定外，电子投标文件应使用不能擦去的墨料或墨水打印、书写或复印。</w:t>
      </w:r>
    </w:p>
    <w:p w14:paraId="285895F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（3）除招标文件另有规定外，电子投标文件应使用人民币作为计量货币。</w:t>
      </w:r>
    </w:p>
    <w:p w14:paraId="42A56B1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（4）除招标文件另有规定外，签署、盖章应遵守下列规定：</w:t>
      </w:r>
    </w:p>
    <w:p w14:paraId="38BA122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①电子投标文件应加盖投标人的单位公章。若投标人代表为单位授权的委托代理人，应提供“单位授权书”。</w:t>
      </w:r>
    </w:p>
    <w:p w14:paraId="45ACC74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②电子投标文件应没有涂改或行间插字，除非这些改动是根据 福建华真招标代理有限公司 的指示进行的，或是为改正投标人造成的应修改的错误而进行的。若有前述改动，应按照下列规定之一对改动处进行处理：</w:t>
      </w:r>
    </w:p>
    <w:p w14:paraId="3462506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a.投标人代表签字确认；</w:t>
      </w:r>
    </w:p>
    <w:p w14:paraId="725070D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b.加盖投标人的单位公章或校正章。</w:t>
      </w:r>
    </w:p>
    <w:p w14:paraId="4E21DEF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10.6投标报价</w:t>
      </w:r>
    </w:p>
    <w:p w14:paraId="701ED12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（1）投标报价超出最高限价将导致投标无效。</w:t>
      </w:r>
    </w:p>
    <w:p w14:paraId="6B17BF6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（2）最高限价由采购人根据价格测算情况，在预算金额的额度内合理设定。最高限价不得超出预算金额。</w:t>
      </w:r>
    </w:p>
    <w:p w14:paraId="320D81F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（3）除招标文件另有规定外，电子投标文件不能出现任何选择性的投标报价，即每一个采购包和品目号的采购标的都只能有一个投标报价。任何选择性的投标报价将导致投标无效。</w:t>
      </w:r>
    </w:p>
    <w:p w14:paraId="0BE56A2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10.7分包</w:t>
      </w:r>
    </w:p>
    <w:p w14:paraId="7112E08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（1）是否允许中标人将本项目的非主体、非关键性工作进行分包：详见招标文件第二章。</w:t>
      </w:r>
    </w:p>
    <w:p w14:paraId="57B5570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362291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（3）招标文件允许中标人将非主体、非关键性工作进行分包的项目，有下列情形之一的，中标人不得分包：</w:t>
      </w:r>
    </w:p>
    <w:p w14:paraId="7A57AA0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①电子投标文件中未载明分包承担主体；</w:t>
      </w:r>
    </w:p>
    <w:p w14:paraId="694C4B8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②电子投标文件载明的分包承担主体不具备相应资质条件；</w:t>
      </w:r>
    </w:p>
    <w:p w14:paraId="1F13ED3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③电子投标文件载明的分包承担主体拟再次分包；</w:t>
      </w:r>
    </w:p>
    <w:p w14:paraId="1630406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④享受中小企业扶持政策获得政府采购合同的，小微企业不得将合同分包给大中型企业，中型企业不得将合同分包给大型企业。</w:t>
      </w:r>
    </w:p>
    <w:p w14:paraId="3AF2BD7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10.8投标有效期</w:t>
      </w:r>
    </w:p>
    <w:p w14:paraId="580D70C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（1）招标文件载明的投标有效期：详见招标文件第二章。</w:t>
      </w:r>
    </w:p>
    <w:p w14:paraId="080A2D7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（2）电子投标文件承诺的投标有效期不得少于招标文件载明的投标有效期，否则投标无效。</w:t>
      </w:r>
    </w:p>
    <w:p w14:paraId="194068F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（3）根据本次采购活动的需要， 福建华真招标代理有限公司 可于投标有效期届满之前书面要求投标人延长投标有效期，投标人应在 福建华真招标代理有限公司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9DDA09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10.9投标保证金</w:t>
      </w:r>
    </w:p>
    <w:p w14:paraId="061DBB9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（1）投标保证金作为投标人按照招标文件规定履行相应投标责任、义务的约束及担保。</w:t>
      </w:r>
    </w:p>
    <w:p w14:paraId="352C61C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（2）投标人以电子保函形式提交投标保证金的，保函的有效期应等于或长于电子投标文件承诺的投标有效期，否则投标无效。</w:t>
      </w:r>
    </w:p>
    <w:p w14:paraId="556DF67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（3）提交</w:t>
      </w:r>
    </w:p>
    <w:p w14:paraId="64C14E3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6F856BD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48FB531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③其他形式：</w:t>
      </w:r>
    </w:p>
    <w:p w14:paraId="464A47F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无</w:t>
      </w:r>
    </w:p>
    <w:p w14:paraId="40FCCAF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④若本项目接受联合体投标且投标人为联合体，则联合体中的牵头方应按照本章第10.9条第（3）款第①、②、③点规定提交投标保证金。</w:t>
      </w:r>
    </w:p>
    <w:p w14:paraId="79A9492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※除招标文件另有规定外，未按照上述规定提交投标保证金将导致资格审查不合格。</w:t>
      </w:r>
    </w:p>
    <w:p w14:paraId="0F38B9A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（4）退还</w:t>
      </w:r>
    </w:p>
    <w:p w14:paraId="4785AE6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①在投标截止时间前撤回已提交的电子投标文件的投标人，其投标保证金将在 福建华真招标代理有限公司 收到投标人书面撤回通知之日起5个工作日内退回原账户。</w:t>
      </w:r>
    </w:p>
    <w:p w14:paraId="62BF45B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②未中标人的投标保证金将在中标通知书发出之日起5个工作日内退回原账户。</w:t>
      </w:r>
    </w:p>
    <w:p w14:paraId="7B97275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③中标人的投标保证金将在政府采购合同签订之日起5个工作日内退回原账户；合同签订之日以福建省政府采购网上公开信息系统记载的为准。</w:t>
      </w:r>
    </w:p>
    <w:p w14:paraId="7BB0859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④终止招标的， 福建华真招标代理有限公司 将在终止公告发布之日起5个工作日内退回已收取的投标保证金及其在银行产生的孳息。</w:t>
      </w:r>
    </w:p>
    <w:p w14:paraId="771303E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⑤除招标文件另有规定外，质疑或投诉涉及的投标人，若投标保证金尚未退还，则待质疑或投诉处理完毕后不计利息原额退还。</w:t>
      </w:r>
    </w:p>
    <w:p w14:paraId="525CB90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※本章第10.9条第（4）款第①、②、③点规定的投标保证金退还时限不包括因投标人自身原因导致无法及时退还而增加的时间。</w:t>
      </w:r>
    </w:p>
    <w:p w14:paraId="3CA1F8D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0120797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（6）有下列情形之一的，投标保证金将不予退还或通过投标保函进行索赔：</w:t>
      </w:r>
    </w:p>
    <w:p w14:paraId="0EE8AE0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①投标人串通投标；</w:t>
      </w:r>
    </w:p>
    <w:p w14:paraId="0953FD1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②投标人提供虚假材料；</w:t>
      </w:r>
    </w:p>
    <w:p w14:paraId="4BB7AC6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③投标人采取不正当手段诋毁、排挤其他投标人；</w:t>
      </w:r>
    </w:p>
    <w:p w14:paraId="35590E0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④投标截止时间后，投标人在投标有效期内撤销电子投标文件；</w:t>
      </w:r>
    </w:p>
    <w:p w14:paraId="7EBD35E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⑤招标文件规定的其他不予退还情形；</w:t>
      </w:r>
    </w:p>
    <w:p w14:paraId="55E7631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⑥中标人有下列情形之一的：</w:t>
      </w:r>
    </w:p>
    <w:p w14:paraId="487F3D6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a.除不可抗力外，因中标人自身原因未在中标通知书要求的期限内与采购人签订政府采购合同；</w:t>
      </w:r>
    </w:p>
    <w:p w14:paraId="6E6BFA9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b.未按照招标文件、投标文件的约定签订政府采购合同或提交履约保证金。</w:t>
      </w:r>
    </w:p>
    <w:p w14:paraId="245BA54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※若上述投标保证金不予退还情形给采购人（采购代理机构）造成损失，则投标人还要承担相应的赔偿责任。</w:t>
      </w:r>
    </w:p>
    <w:p w14:paraId="0F1F761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10.10电子投标文件的提交</w:t>
      </w:r>
    </w:p>
    <w:p w14:paraId="4188EFF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（1）一个投标人只能提交一个电子投标文件，并按照招标文件第一章规定在系统上完成上传、解密操作。</w:t>
      </w:r>
    </w:p>
    <w:p w14:paraId="091C626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10.11电子投标文件的补充、修改或撤回</w:t>
      </w:r>
    </w:p>
    <w:p w14:paraId="5AE708F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（1）投标截止时间前，投标人可对所提交的电子投标文件进行补充、修改或撤回，并书面通知 福建华真招标代理有限公司 。</w:t>
      </w:r>
    </w:p>
    <w:p w14:paraId="1828AE8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（2）补充、修改的内容应按照本章第10.5条第（4）款规定进行签署、盖章，并按照本章第10.10条规定提交，否则将被拒收。</w:t>
      </w:r>
    </w:p>
    <w:p w14:paraId="162F2E2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※按照上述规定提交的补充、修改内容作为电子投标文件组成部分。</w:t>
      </w:r>
    </w:p>
    <w:p w14:paraId="0B36F81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10.12除招标文件另有规定外，有下列情形之一的，投标无效：</w:t>
      </w:r>
    </w:p>
    <w:p w14:paraId="56C6C6C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（1）电子投标文件未按照招标文件要求签署、盖章；</w:t>
      </w:r>
    </w:p>
    <w:p w14:paraId="3BE4B85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（2）不符合招标文件中规定的资格要求；</w:t>
      </w:r>
    </w:p>
    <w:p w14:paraId="489587A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（3）投标报价超过招标文件中规定的预算金额或最高限价；</w:t>
      </w:r>
    </w:p>
    <w:p w14:paraId="11FA9FD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（4）电子投标文件含有采购人不能接受的附加条件；</w:t>
      </w:r>
    </w:p>
    <w:p w14:paraId="0198137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（5）有关法律、法规和规章及招标文件规定的其他无效情形。</w:t>
      </w:r>
    </w:p>
    <w:p w14:paraId="37F6A376">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五、开标</w:t>
      </w:r>
    </w:p>
    <w:p w14:paraId="2290996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11、开标</w:t>
      </w:r>
    </w:p>
    <w:p w14:paraId="123F331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11.1 福建华真招标代理有限公司 将在招标文件载明的开标时间及地点主持召开开标会，并邀请投标人参加。</w:t>
      </w:r>
    </w:p>
    <w:p w14:paraId="0B4B6FA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11.2开标会的主持人、唱标人、记录人及其他工作人员（若有）均由 福建华真招标代理有限公司 派出，现场监督人员（若有）可由有关方面派出。</w:t>
      </w:r>
    </w:p>
    <w:p w14:paraId="17B47FE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61A10D6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11.4开标会应遵守下列规定：</w:t>
      </w:r>
    </w:p>
    <w:p w14:paraId="0FBD837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20F6F25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7C0477E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（3）唱标结束后，参加现场开标会的投标人代表应对开标记录进行签字确认，通过远程参与开标流程的投标人须在系统远程签章开启后，在系统规定时间内对开标结果进行签章确认。</w:t>
      </w:r>
    </w:p>
    <w:p w14:paraId="6596BD8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0EAA40A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（5）若投标人未到开标现场参加开标会，也未通过远程参加开标会的，视同认可开标结果。</w:t>
      </w:r>
    </w:p>
    <w:p w14:paraId="53FEDDF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福建华真招标代理有限公司 提出任何疑义或要求（包括质疑）。</w:t>
      </w:r>
    </w:p>
    <w:p w14:paraId="205D9C0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11.5投标截止时间后，参加投标的投标人不足三家的，不进行开标。同时，本次采购活动结束， 福建华真招标代理有限公司 将依法组织后续采购活动（包括但不限于：重新招标、采用其他方式采购等）。</w:t>
      </w:r>
    </w:p>
    <w:p w14:paraId="758EF4A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11.6投标截止时间后撤销投标的处理</w:t>
      </w:r>
    </w:p>
    <w:p w14:paraId="74A14DD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投标截止时间后，投标人在投标有效期内撤销投标的，其撤销投标的行为无效。</w:t>
      </w:r>
    </w:p>
    <w:p w14:paraId="7CCC0C0B">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六、中标与政府采购合同</w:t>
      </w:r>
    </w:p>
    <w:p w14:paraId="42C81ED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12、中标</w:t>
      </w:r>
    </w:p>
    <w:p w14:paraId="6004842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12.1本项目推荐的中标候选人家数：详见招标文件第二章。</w:t>
      </w:r>
    </w:p>
    <w:p w14:paraId="2FC3386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12.2本项目中标人的确定：详见招标文件第二章。</w:t>
      </w:r>
    </w:p>
    <w:p w14:paraId="116FF85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12.3中标公告</w:t>
      </w:r>
    </w:p>
    <w:p w14:paraId="1346939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（1）中标人确定之日起2个工作日内， 福建华真招标代理有限公司 将在招标文件载明的指定媒体以中标公告的形式发布中标结果。</w:t>
      </w:r>
    </w:p>
    <w:p w14:paraId="3B4B51F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（2）中标公告的公告期限为1个工作日。</w:t>
      </w:r>
    </w:p>
    <w:p w14:paraId="06359DB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12.4中标通知书</w:t>
      </w:r>
    </w:p>
    <w:p w14:paraId="43861C2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（1）中标公告发布的同时， 福建华真招标代理有限公司 将向中标人发出中标通知书。</w:t>
      </w:r>
    </w:p>
    <w:p w14:paraId="00AE2E3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（2）中标通知书发出后，采购人不得违法改变中标结果，中标人无正当理由不得放弃中标。</w:t>
      </w:r>
    </w:p>
    <w:p w14:paraId="5EF7DEA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13、政府采购合同</w:t>
      </w:r>
    </w:p>
    <w:p w14:paraId="3188326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509D534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13.2签订时限：详见须知前附表1的13.2。</w:t>
      </w:r>
    </w:p>
    <w:p w14:paraId="2BBBF3F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13.3政府采购合同的履行、违约责任和解决争议的方法等适用民法典。</w:t>
      </w:r>
    </w:p>
    <w:p w14:paraId="16F0668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13.4采购人与中标人应根据政府采购合同的约定依法履行合同义务。</w:t>
      </w:r>
    </w:p>
    <w:p w14:paraId="101B21E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13.5政府采购合同履行过程中，采购人若需追加与合同标的相同的货物或服务，则追加采购金额不得超过原合同采购金额的10%。</w:t>
      </w:r>
    </w:p>
    <w:p w14:paraId="70ED34E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13.6中标人在政府采购合同履行过程中应遵守有关法律、法规和规章的强制性规定（即使前述强制性规定有可能在招标文件中未予列明）。</w:t>
      </w:r>
    </w:p>
    <w:p w14:paraId="68310CC5">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七、询问、质疑与投诉</w:t>
      </w:r>
    </w:p>
    <w:p w14:paraId="4397FE2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14、询问</w:t>
      </w:r>
    </w:p>
    <w:p w14:paraId="5CF35C7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14.1潜在投标人或投标人对本次采购活动的有关事项若有疑问，可向 福建华真招标代理有限公司 提出询问， 福建华真招标代理有限公司 将按照政府采购法及实施条例的有关规定进行答复。</w:t>
      </w:r>
    </w:p>
    <w:p w14:paraId="46C81DF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15、质疑</w:t>
      </w:r>
    </w:p>
    <w:p w14:paraId="7AF207B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24EF56B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（1）对招标文件提出质疑的，质疑人应为潜在投标人，且两者的身份、名称等均应保持一致。对采购过程、结果提出质疑的，质疑人应为投标人，且两者的身份、名称等均应保持一致。</w:t>
      </w:r>
    </w:p>
    <w:p w14:paraId="76FF9FB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（2）质疑人应按照招标文件第二章规定方式提交质疑函。</w:t>
      </w:r>
    </w:p>
    <w:p w14:paraId="393012A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（3）质疑函应包括下列主要内容：</w:t>
      </w:r>
    </w:p>
    <w:p w14:paraId="102B4F6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①质疑人的基本信息，至少包括：全称、地址、邮政编码等；</w:t>
      </w:r>
    </w:p>
    <w:p w14:paraId="46D1771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②所质疑项目的基本信息，至少包括：项目编号、项目名称等；</w:t>
      </w:r>
    </w:p>
    <w:p w14:paraId="4EA6215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③所质疑的具体事项（以下简称：“质疑事项”）；</w:t>
      </w:r>
    </w:p>
    <w:p w14:paraId="69C1826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④针对质疑事项提出的明确请求，前述明确请求指质疑人提出质疑的目的以及希望 福建华真招标代理有限公司 对其质疑作出的处理结果，如：暂停招标投标活动、修改招标文件、停止或纠正违法违规行为、中标结果无效、废标、重新招标等；</w:t>
      </w:r>
    </w:p>
    <w:p w14:paraId="2D2A792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⑤针对质疑事项导致质疑人自身权益受到损害的必要证明材料，至少包括：</w:t>
      </w:r>
    </w:p>
    <w:p w14:paraId="6FCB8CD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a.质疑人代表的身份证明材料：</w:t>
      </w:r>
    </w:p>
    <w:p w14:paraId="40F256E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893878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a2若本项目接受自然人投标且质疑人为自然人的，提供本人的身份证复印件。</w:t>
      </w:r>
    </w:p>
    <w:p w14:paraId="6041A2E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b.其他证明材料（即事实依据和必要的法律依据）包括但不限于下列材料：</w:t>
      </w:r>
    </w:p>
    <w:p w14:paraId="17D6BE3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b1所质疑的具体事项是与自己有利害关系的证明材料；</w:t>
      </w:r>
    </w:p>
    <w:p w14:paraId="0208BBD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b2质疑函所述事实存在的证明材料，如：采购文件、采购过程或中标结果违法违规或不符合采购文件要求等证明材料；</w:t>
      </w:r>
    </w:p>
    <w:p w14:paraId="3A9F6DA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b3依法应终止采购程序的证明材料；</w:t>
      </w:r>
    </w:p>
    <w:p w14:paraId="7ED9A50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b4应重新采购的证明材料；</w:t>
      </w:r>
    </w:p>
    <w:p w14:paraId="42C3811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b5采购文件、采购过程或中标、成交结果损害自己合法权益的证明材料等；</w:t>
      </w:r>
    </w:p>
    <w:p w14:paraId="44409CC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1D4F291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⑥质疑人代表及其联系方法的信息，至少包括：姓名、手机、电子信箱、邮寄地址等。</w:t>
      </w:r>
    </w:p>
    <w:p w14:paraId="5DC38D7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⑦提出质疑的日期。</w:t>
      </w:r>
    </w:p>
    <w:p w14:paraId="32C9AE6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※质疑人为法人或其他组织的，质疑函应由单位负责人或委托代理人签字或盖章，并加盖投标人的单位公章。质疑人为自然人的，质疑函应由本人签字。</w:t>
      </w:r>
    </w:p>
    <w:p w14:paraId="234F958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15.2对不符合本章第15.1条规定的质疑，将按照下列规定进行处理：</w:t>
      </w:r>
    </w:p>
    <w:p w14:paraId="0C6E76B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（1）不符合其中第（1）、（2）条规定的，书面告知质疑人不予受理及其理由。</w:t>
      </w:r>
    </w:p>
    <w:p w14:paraId="3BAD284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（2）不符合其中第（3）条规定的，书面告知质疑人修改、补充后在规定时限内重新提交质疑函。</w:t>
      </w:r>
    </w:p>
    <w:p w14:paraId="481AA72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15.3对符合本章第15.1条规定的质疑，将按照政府采购法及实施条例、政府采购质疑和投诉办法的有关规定进行答复。</w:t>
      </w:r>
    </w:p>
    <w:p w14:paraId="210A1E6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15.4招标文件的质疑：详见招标文件第二章。</w:t>
      </w:r>
    </w:p>
    <w:p w14:paraId="69DB791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16、投诉</w:t>
      </w:r>
    </w:p>
    <w:p w14:paraId="624E080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3D647CB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16.2投诉应有明确的请求和必要的证明材料，投诉的事项不得超出已质疑事项的范围。</w:t>
      </w:r>
    </w:p>
    <w:p w14:paraId="5D326230">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八、政府采购政策</w:t>
      </w:r>
    </w:p>
    <w:p w14:paraId="07DF64E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17、政府采购政策由财政部根据国家的经济和社会发展政策并会同国家有关部委制定，包括但不限于下列具体政策要求：</w:t>
      </w:r>
    </w:p>
    <w:p w14:paraId="04CBD5C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17.1本国产品与非本国产品相关约定</w:t>
      </w:r>
    </w:p>
    <w:p w14:paraId="3CCE939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17.1.1本国产品</w:t>
      </w:r>
    </w:p>
    <w:p w14:paraId="56DFD78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7B43CEF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C6B352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7B3DCDE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E66146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17.1.2 非本国产品</w:t>
      </w:r>
    </w:p>
    <w:p w14:paraId="4837869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17.1.2.1 进口产品：指通过中国海关报关验放进入中国境内且产自关境外的产品，其中：</w:t>
      </w:r>
    </w:p>
    <w:p w14:paraId="77BD641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6E5FC57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（2）凡在海关特殊监管区域内企业生产或加工（包括从境外进口料件）销往境内其他地区的产品，不作为政府采购项下进口产品。</w:t>
      </w:r>
    </w:p>
    <w:p w14:paraId="7A9764E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（3）对从境外进入海关特殊监管区域，再经办理报关手续后从海关特殊监管区进入境内其他地区的产品，认定为进口产品。</w:t>
      </w:r>
    </w:p>
    <w:p w14:paraId="726FDA9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（4）招标文件列明不允许或未列明允许进口产品参加投标的，均视为拒绝进口产品参加投标。</w:t>
      </w:r>
    </w:p>
    <w:p w14:paraId="4D18A4D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17.1.2.2 其它非本国产品：指非进口产品且不符合本国产品标准的产品。</w:t>
      </w:r>
    </w:p>
    <w:p w14:paraId="2F402FE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6F01D98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F465AF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（1）中小企业指符合下列条件的中型、小型、微型企业：</w:t>
      </w:r>
    </w:p>
    <w:p w14:paraId="102F482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E2BC98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②符合中小企业划分标准的个体工商户，在政府采购活动中视同中小企业。</w:t>
      </w:r>
    </w:p>
    <w:p w14:paraId="617E5EA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（2）在政府采购活动中，供应商提供的货物、工程或者服务符合下列情形的，享受本办法规定的中小企业扶持政策：</w:t>
      </w:r>
    </w:p>
    <w:p w14:paraId="21643E3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①在货物采购项目中，货物由中小企业制造，即货物由中小企业生产且使用该中小企业商号或者注册商标；</w:t>
      </w:r>
    </w:p>
    <w:p w14:paraId="7F2E9EA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②在工程采购项目中，工程由中小企业承建，即工程施工单位为中小企业；</w:t>
      </w:r>
    </w:p>
    <w:p w14:paraId="2B1FCCE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③在服务采购项目中，服务由中小企业承接，即提供服务的人员为中小企业依照《中华人民共和国劳动合同法》订立劳动合同的从业人员。</w:t>
      </w:r>
    </w:p>
    <w:p w14:paraId="0EFF7AB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在货物采购项目中，供应商提供的货物既有中小企业制造货物，也有大型企业制造货物的，不享受本办法规定的中小企业扶持政策。</w:t>
      </w:r>
    </w:p>
    <w:p w14:paraId="1AD01A9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以联合体形式参加政府采购活动，联合体各方均为中小企业的，联合体视同中小企业。其中，联合体各方均为小微企业的，联合体视同小微企业。</w:t>
      </w:r>
    </w:p>
    <w:p w14:paraId="77603D0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（3）投标人应当按照招标文件明确的采购标的对应行业的划分标准出具中小企业声明函。</w:t>
      </w:r>
    </w:p>
    <w:p w14:paraId="12B3372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E97291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F929D4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①监狱企业参加采购活动时，应提供由省级以上监狱管理局、戒毒管理局（含新疆生产建设兵团）出具的属于监狱企业的证明文件。</w:t>
      </w:r>
    </w:p>
    <w:p w14:paraId="5233010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②监狱企业视同小型、微型企业。</w:t>
      </w:r>
    </w:p>
    <w:p w14:paraId="1B7F642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（5）残疾人福利性单位指同时符合下列条件的单位：</w:t>
      </w:r>
    </w:p>
    <w:p w14:paraId="6103833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①安置的残疾人占本单位在职职工人数的比例不低于25%（含25%），并且安置的残疾人人数不少于10人（含10人）；</w:t>
      </w:r>
    </w:p>
    <w:p w14:paraId="5726F3F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②依法与安置的每位残疾人签订了一年以上（含一年）的劳动合同或服务协议；</w:t>
      </w:r>
    </w:p>
    <w:p w14:paraId="627A992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③为安置的每位残疾人按月足额缴纳了基本养老保险、基本医疗保险、失业保险、工伤保险和生育保险等社会保险费；</w:t>
      </w:r>
    </w:p>
    <w:p w14:paraId="0978F5C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④通过银行等金融机构向安置的每位残疾人，按月支付了不低于单位所在区县适用的经省级人民政府批准的月最低工资标准的工资；</w:t>
      </w:r>
    </w:p>
    <w:p w14:paraId="3E591D3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⑤提供本单位制造的货物、承担的工程或服务，或提供其他残疾人福利性单位制造的货物（不包括使用非残疾人福利性单位注册商标的货物）。</w:t>
      </w:r>
    </w:p>
    <w:p w14:paraId="19E68A3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DAFCAC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53BEFC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17.4信用记录指由财政部确定的有关网站提供的相关主体信用信息。信用记录的查询及使用应符合财政部文件（财库[2016]125号）规定。</w:t>
      </w:r>
    </w:p>
    <w:p w14:paraId="1025FB4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17.5为落实政府采购政策需满足的要求：详见招标文件第一章。</w:t>
      </w:r>
    </w:p>
    <w:p w14:paraId="47E73087">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九、本项目的有关信息</w:t>
      </w:r>
    </w:p>
    <w:p w14:paraId="3510D2B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18、本项目的有关信息，包括但不限于：招标公告、更正公告（若有）、招标文件、招标文件的澄清或修改（若有）、中标公告、终止公告（若有）、废标公告（若有）等都将在招标文件载明的指定媒体发布。</w:t>
      </w:r>
    </w:p>
    <w:p w14:paraId="22478B7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18.1指定媒体：详见招标文件第二章。</w:t>
      </w:r>
    </w:p>
    <w:p w14:paraId="53AECD7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18.2本项目的潜在投标人或投标人应随时关注指定媒体，否则产生不利后果由其自行承担。</w:t>
      </w:r>
    </w:p>
    <w:p w14:paraId="00613BA4">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十、其他事项</w:t>
      </w:r>
    </w:p>
    <w:p w14:paraId="2A485F2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19、其他事项：</w:t>
      </w:r>
    </w:p>
    <w:p w14:paraId="22CCA7F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20278D0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19.2其他：详见招标文件第二章。</w:t>
      </w:r>
    </w:p>
    <w:p w14:paraId="38EDBC72">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65DCC1D">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第四章 资格审查与评标</w:t>
      </w:r>
    </w:p>
    <w:p w14:paraId="0CA30EF5">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一、资格审查</w:t>
      </w:r>
    </w:p>
    <w:p w14:paraId="1DFEFD4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1、开标结束后，由 福建华真招标代理有限公司 负责资格审查小组的组建及资格审查工作的组织。</w:t>
      </w:r>
    </w:p>
    <w:p w14:paraId="48DB1CB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1.1资格审查小组</w:t>
      </w:r>
    </w:p>
    <w:p w14:paraId="335BA4A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资格审查小组由3人组成，并负责具体审查事务，其中由采购人派出的采购人代表至少1人，由福建华真招标代理有限公司派出的工作人员至少1人，其余1人可为采购人代表或福建华真招标代理有限公司的工作人员。</w:t>
      </w:r>
    </w:p>
    <w:p w14:paraId="11B67E6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1.2资格审查的依据是招标文件和电子投标文件。</w:t>
      </w:r>
    </w:p>
    <w:p w14:paraId="55E8366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1.3资格审查的范围及内容：电子投标文件（资格及资信证明部分），具体如下：</w:t>
      </w:r>
    </w:p>
    <w:p w14:paraId="21EC66D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（1）“投标函”；</w:t>
      </w:r>
    </w:p>
    <w:p w14:paraId="6C1E5A2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（2）“投标人的资格及资信证明文件”</w:t>
      </w:r>
    </w:p>
    <w:p w14:paraId="148DAF3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①一般资格证明文件：</w:t>
      </w:r>
    </w:p>
    <w:p w14:paraId="4E94C9F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7"/>
        <w:gridCol w:w="2167"/>
        <w:gridCol w:w="5422"/>
      </w:tblGrid>
      <w:tr w14:paraId="10F976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0FC8E2D7">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167" w:type="dxa"/>
          </w:tcPr>
          <w:p w14:paraId="6C36C10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资格审查要求概况</w:t>
            </w:r>
          </w:p>
        </w:tc>
        <w:tc>
          <w:tcPr>
            <w:tcW w:w="5422" w:type="dxa"/>
          </w:tcPr>
          <w:p w14:paraId="02CC75EC">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14:paraId="768BE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05A27241">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167" w:type="dxa"/>
          </w:tcPr>
          <w:p w14:paraId="06713DEB">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单位授权书</w:t>
            </w:r>
          </w:p>
        </w:tc>
        <w:tc>
          <w:tcPr>
            <w:tcW w:w="5422" w:type="dxa"/>
          </w:tcPr>
          <w:p w14:paraId="5A36403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0BAF2F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2303A63A">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167" w:type="dxa"/>
          </w:tcPr>
          <w:p w14:paraId="08B84A1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营业执照等证明文件</w:t>
            </w:r>
          </w:p>
        </w:tc>
        <w:tc>
          <w:tcPr>
            <w:tcW w:w="5422" w:type="dxa"/>
          </w:tcPr>
          <w:p w14:paraId="2595DEAD">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5516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39CDC72D">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167" w:type="dxa"/>
          </w:tcPr>
          <w:p w14:paraId="64CE7C64">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提供财务状况报告(财务报告、或资信证明）</w:t>
            </w:r>
          </w:p>
        </w:tc>
        <w:tc>
          <w:tcPr>
            <w:tcW w:w="5422" w:type="dxa"/>
          </w:tcPr>
          <w:p w14:paraId="5AB9BF1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40509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0522345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2167" w:type="dxa"/>
          </w:tcPr>
          <w:p w14:paraId="51F5484A">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依法缴纳税收证明材料</w:t>
            </w:r>
          </w:p>
        </w:tc>
        <w:tc>
          <w:tcPr>
            <w:tcW w:w="5422" w:type="dxa"/>
          </w:tcPr>
          <w:p w14:paraId="7CFED14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9BA4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7CCED30B">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2167" w:type="dxa"/>
          </w:tcPr>
          <w:p w14:paraId="030C612B">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依法缴纳社会保障资金证明材料</w:t>
            </w:r>
          </w:p>
        </w:tc>
        <w:tc>
          <w:tcPr>
            <w:tcW w:w="5422" w:type="dxa"/>
          </w:tcPr>
          <w:p w14:paraId="29B6605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1632C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5F5917AA">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2167" w:type="dxa"/>
          </w:tcPr>
          <w:p w14:paraId="55944104">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具备履行合同所必需设备和专业技术能力的声明函(若有)</w:t>
            </w:r>
          </w:p>
        </w:tc>
        <w:tc>
          <w:tcPr>
            <w:tcW w:w="5422" w:type="dxa"/>
          </w:tcPr>
          <w:p w14:paraId="42D90D7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0123E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474F0CBD">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2167" w:type="dxa"/>
          </w:tcPr>
          <w:p w14:paraId="51424F3E">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参加采购活动前三年内在经营活动中没有重大违法记录的声明</w:t>
            </w:r>
          </w:p>
        </w:tc>
        <w:tc>
          <w:tcPr>
            <w:tcW w:w="5422" w:type="dxa"/>
          </w:tcPr>
          <w:p w14:paraId="6210260A">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7AFA3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726AA899">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2167" w:type="dxa"/>
          </w:tcPr>
          <w:p w14:paraId="410F2067">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信用记录查询结果</w:t>
            </w:r>
          </w:p>
        </w:tc>
        <w:tc>
          <w:tcPr>
            <w:tcW w:w="5422" w:type="dxa"/>
          </w:tcPr>
          <w:p w14:paraId="18FBC20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59E4B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2AB4E76D">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2167" w:type="dxa"/>
          </w:tcPr>
          <w:p w14:paraId="1041EBF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中小企业声明函（以资格条件落实中小企业扶持政策时适用 ）</w:t>
            </w:r>
          </w:p>
        </w:tc>
        <w:tc>
          <w:tcPr>
            <w:tcW w:w="5422" w:type="dxa"/>
          </w:tcPr>
          <w:p w14:paraId="2A767198">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72367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7" w:type="dxa"/>
          </w:tcPr>
          <w:p w14:paraId="1432F8E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2167" w:type="dxa"/>
          </w:tcPr>
          <w:p w14:paraId="1E3BDF2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联合体协议（若有）</w:t>
            </w:r>
          </w:p>
        </w:tc>
        <w:tc>
          <w:tcPr>
            <w:tcW w:w="5422" w:type="dxa"/>
          </w:tcPr>
          <w:p w14:paraId="3F610FCD">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5ADC1CC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※备注说明</w:t>
      </w:r>
    </w:p>
    <w:p w14:paraId="5AEADD7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①投标人应根据自身实际情况提供上述资格要求的证明材料，格式可参考招标文件第七章提供。</w:t>
      </w:r>
    </w:p>
    <w:p w14:paraId="39A0C33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②投标人提供的相应证明材料复印件均应符合：内容完整、清晰、整洁，并由投标人加盖其单位公章。</w:t>
      </w:r>
    </w:p>
    <w:p w14:paraId="48FDD12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③根据招标文件第四章第一点资格审查的1.3“④其他资格证明文件”要求，允许供应商采用资格承诺制的并提供符合要求的资格承诺函，视为满足招标文件的资格要求。</w:t>
      </w:r>
    </w:p>
    <w:p w14:paraId="7D9F5D9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④.其他资格证明文件：</w:t>
      </w:r>
    </w:p>
    <w:p w14:paraId="22250DB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84"/>
        <w:gridCol w:w="6122"/>
      </w:tblGrid>
      <w:tr w14:paraId="37A085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84" w:type="dxa"/>
          </w:tcPr>
          <w:p w14:paraId="3C35E8C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资格审查要求概况</w:t>
            </w:r>
          </w:p>
        </w:tc>
        <w:tc>
          <w:tcPr>
            <w:tcW w:w="6122" w:type="dxa"/>
          </w:tcPr>
          <w:p w14:paraId="66E73FD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14:paraId="150175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84" w:type="dxa"/>
          </w:tcPr>
          <w:p w14:paraId="0329CFE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资格承诺函</w:t>
            </w:r>
          </w:p>
        </w:tc>
        <w:tc>
          <w:tcPr>
            <w:tcW w:w="6122" w:type="dxa"/>
          </w:tcPr>
          <w:p w14:paraId="48C83AB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根据《福建省财政厅关于印发推行政府采购供应商资格承诺制指导意见的通知》（闽财购〔2024〕6号），参加本项目投标的投标人提供《政府采购供应商资格承诺函》（格式见附件）的，在投标（响应）文件中可不提供《中华人民共和国政府采购法实施条例》第十七条第一款规定的资格条件证明材料（证明材料指法人或者其他组织的营业执照等证明文件、财务状况报告证明文件、依法缴纳税收和社会保障资金的证明文件、具备履行合同所必需设备和专业技术能力的声明函、参加政府采购活动前3年内在经营活动中没有重大违法记录的书面声明），若不提供本承诺函的，应按招标文件要求提供相应的证明材料。投标人应对其承诺内容的真实性、合法性、有效性负责，不得作出虚假承诺，承诺不实的，属于提供虚假材料谋取中标、成交，依法追究相关的法律责任。</w:t>
            </w:r>
          </w:p>
        </w:tc>
      </w:tr>
    </w:tbl>
    <w:p w14:paraId="7D5EA3C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（3）投标保证金。</w:t>
      </w:r>
    </w:p>
    <w:p w14:paraId="09FD1EA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1.4有下列情形之一的，资格审查不合格：</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232E06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F9684F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14:paraId="5B381B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D11DA6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未按照招标文件规定提交投标函</w:t>
            </w:r>
          </w:p>
        </w:tc>
      </w:tr>
      <w:tr w14:paraId="3CF4F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3F44B9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未按照招标文件规定提交投标人的资格及资信文件</w:t>
            </w:r>
          </w:p>
        </w:tc>
      </w:tr>
      <w:tr w14:paraId="4A460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3CCB60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未按照招标文件规定提交投标保证金</w:t>
            </w:r>
          </w:p>
        </w:tc>
      </w:tr>
    </w:tbl>
    <w:p w14:paraId="1AA0D70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14:paraId="5EBB434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资格审查不合格项：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4"/>
        <w:gridCol w:w="7572"/>
      </w:tblGrid>
      <w:tr w14:paraId="4818D8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4" w:type="dxa"/>
          </w:tcPr>
          <w:p w14:paraId="30512B1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情形</w:t>
            </w:r>
          </w:p>
        </w:tc>
        <w:tc>
          <w:tcPr>
            <w:tcW w:w="7572" w:type="dxa"/>
          </w:tcPr>
          <w:p w14:paraId="12C054D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14:paraId="4E0334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4" w:type="dxa"/>
          </w:tcPr>
          <w:p w14:paraId="754C0F8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572" w:type="dxa"/>
          </w:tcPr>
          <w:p w14:paraId="2DF4E1E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资格及资信证明部分中不得出现报价部分的全部或部分的投标报价信息（或组成资料），否则视为投标无效。</w:t>
            </w:r>
          </w:p>
        </w:tc>
      </w:tr>
    </w:tbl>
    <w:p w14:paraId="2E25411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CF990D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2、资格审查情况不得私自外泄，有关信息由 福建华真招标代理有限公司 统一对外发布。</w:t>
      </w:r>
    </w:p>
    <w:p w14:paraId="7CBB800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3、资格审查合格的投标人不足三家的，不进行评标。同时，本次采购活动结束， 福建华真招标代理有限公司 将依法组织后续采购活动（包括但不限于：重新招标、采用其他方式采购等）。</w:t>
      </w:r>
    </w:p>
    <w:p w14:paraId="55C6B832">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二、评标</w:t>
      </w:r>
    </w:p>
    <w:p w14:paraId="46B6D8C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4、资格审查结束后，由 福建华真招标代理有限公司 负责评标委员会的组建及评标工作的组织。</w:t>
      </w:r>
    </w:p>
    <w:p w14:paraId="2D30459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5、评标委员会</w:t>
      </w:r>
    </w:p>
    <w:p w14:paraId="1F8B788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由采购人代表和评审专家两部分共7人组成，其中由福建省政府采购评审专家库产生的评审专家5人，由采购人派出的采购人代表2人。</w:t>
      </w:r>
    </w:p>
    <w:p w14:paraId="46D8CE8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5.2评标委员会负责具体评标事务，并按照下列原则依法独立履行有关职责：</w:t>
      </w:r>
    </w:p>
    <w:p w14:paraId="2B8EC9F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（1）评标应保护国家利益、社会公共利益和各方当事人合法权益，提高采购效益，保证项目质量。</w:t>
      </w:r>
    </w:p>
    <w:p w14:paraId="2A1B7A1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（2）评标应遵循公平、公正、科学、严谨和择优原则。</w:t>
      </w:r>
    </w:p>
    <w:p w14:paraId="3EE1623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（3）评标的依据是招标文件和电子投标文件。</w:t>
      </w:r>
    </w:p>
    <w:p w14:paraId="5F00AEC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（4）应按照招标文件规定推荐中标候选人或确定中标人。</w:t>
      </w:r>
    </w:p>
    <w:p w14:paraId="7F03AB1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（5）评标应遵守下列评标纪律：</w:t>
      </w:r>
    </w:p>
    <w:p w14:paraId="4BBE901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①评标情况不得私自外泄，有关信息由 福建华真招标代理有限公司 统一对外发布。</w:t>
      </w:r>
    </w:p>
    <w:p w14:paraId="728E3E0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②对 福建华真招标代理有限公司 或投标人提供的要求保密的资料，不得摘记翻印和外传。</w:t>
      </w:r>
    </w:p>
    <w:p w14:paraId="52A49D5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③不得收受投标人或有关人员的任何礼物，不得串联鼓动其他人袒护某投标人。若与投标人存在利害关系，则应主动声明并回避。</w:t>
      </w:r>
    </w:p>
    <w:p w14:paraId="0E713B3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④全体评委应按照招标文件规定进行评标，一切认定事项应查有实据且不得弄虚作假。</w:t>
      </w:r>
    </w:p>
    <w:p w14:paraId="7D8E60F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⑤评标中应充分发扬民主，推荐中标候选人或确定中标人后要服从评标报告。</w:t>
      </w:r>
    </w:p>
    <w:p w14:paraId="41B48BA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※对违反评标纪律的评委，将取消其评委资格，对评标工作造成严重损失者将予以通报批评乃至追究法律责任。</w:t>
      </w:r>
    </w:p>
    <w:p w14:paraId="6CBE049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6、评标程序</w:t>
      </w:r>
    </w:p>
    <w:p w14:paraId="3EF808F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6.1评标前的准备工作</w:t>
      </w:r>
    </w:p>
    <w:p w14:paraId="796FB83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（1）全体评委应认真审阅招标文件，了解评委应履行或遵守的职责、义务和评标纪律。</w:t>
      </w:r>
    </w:p>
    <w:p w14:paraId="4F0CABE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7A75C57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6.2符合性审查</w:t>
      </w:r>
    </w:p>
    <w:p w14:paraId="3ACD7CA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（1）评标委员会依据招标文件的实质性要求，对通过资格审查的电子投标文件进行符合性审查，以确定其是否满足招标文件的实质性要求。</w:t>
      </w:r>
    </w:p>
    <w:p w14:paraId="6AEF213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（2）满足招标文件的实质性要求指电子投标文件对招标文件实质性要求的响应不存在重大偏差或保留。</w:t>
      </w:r>
    </w:p>
    <w:p w14:paraId="1ED06FF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387405F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384ABB7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（5）评标委员会对所有投标人都执行相同的程序和标准。</w:t>
      </w:r>
    </w:p>
    <w:p w14:paraId="3E3763A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（6）有下列情形之一的，符合性审查不合格：</w:t>
      </w:r>
    </w:p>
    <w:p w14:paraId="5EFCF75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①项目一般情形：</w:t>
      </w:r>
    </w:p>
    <w:p w14:paraId="7376FB0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0"/>
        <w:gridCol w:w="2250"/>
        <w:gridCol w:w="5356"/>
      </w:tblGrid>
      <w:tr w14:paraId="66857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54939C1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2250" w:type="dxa"/>
          </w:tcPr>
          <w:p w14:paraId="472626C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符合审查要求概况</w:t>
            </w:r>
          </w:p>
        </w:tc>
        <w:tc>
          <w:tcPr>
            <w:tcW w:w="5356" w:type="dxa"/>
          </w:tcPr>
          <w:p w14:paraId="7E2FE32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评审点具体描述</w:t>
            </w:r>
          </w:p>
        </w:tc>
      </w:tr>
      <w:tr w14:paraId="29211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700" w:type="dxa"/>
          </w:tcPr>
          <w:p w14:paraId="4CBE2B8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250" w:type="dxa"/>
          </w:tcPr>
          <w:p w14:paraId="2E06EC4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情形1</w:t>
            </w:r>
          </w:p>
        </w:tc>
        <w:tc>
          <w:tcPr>
            <w:tcW w:w="5356" w:type="dxa"/>
          </w:tcPr>
          <w:p w14:paraId="23F5E63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违反招标文件中载明“投标无效”条款的规定；</w:t>
            </w:r>
          </w:p>
        </w:tc>
      </w:tr>
      <w:tr w14:paraId="34AB45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7CD317B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250" w:type="dxa"/>
          </w:tcPr>
          <w:p w14:paraId="1C2BB4F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情形2</w:t>
            </w:r>
          </w:p>
        </w:tc>
        <w:tc>
          <w:tcPr>
            <w:tcW w:w="5356" w:type="dxa"/>
          </w:tcPr>
          <w:p w14:paraId="360C0AF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属于招标文件第三章第10.12条规定的投标无效情形；</w:t>
            </w:r>
          </w:p>
        </w:tc>
      </w:tr>
      <w:tr w14:paraId="6F3A5F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0" w:type="dxa"/>
          </w:tcPr>
          <w:p w14:paraId="32A2C76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2250" w:type="dxa"/>
          </w:tcPr>
          <w:p w14:paraId="20EC7C8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情形3</w:t>
            </w:r>
          </w:p>
        </w:tc>
        <w:tc>
          <w:tcPr>
            <w:tcW w:w="5356" w:type="dxa"/>
          </w:tcPr>
          <w:p w14:paraId="45337F0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投标文件对招标文件实质性要求的响应存在重大偏离或保留。</w:t>
            </w:r>
          </w:p>
        </w:tc>
      </w:tr>
    </w:tbl>
    <w:p w14:paraId="247C7CD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②本项目规定的其他情形：</w:t>
      </w:r>
    </w:p>
    <w:p w14:paraId="6B75CD0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w:t>
      </w:r>
    </w:p>
    <w:p w14:paraId="4741301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技术符合性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7"/>
        <w:gridCol w:w="7539"/>
      </w:tblGrid>
      <w:tr w14:paraId="7009D8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7" w:type="dxa"/>
          </w:tcPr>
          <w:p w14:paraId="03251E6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情形</w:t>
            </w:r>
          </w:p>
        </w:tc>
        <w:tc>
          <w:tcPr>
            <w:tcW w:w="7539" w:type="dxa"/>
          </w:tcPr>
          <w:p w14:paraId="7D87B79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14:paraId="0A0FD7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7" w:type="dxa"/>
          </w:tcPr>
          <w:p w14:paraId="0B1121C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539" w:type="dxa"/>
          </w:tcPr>
          <w:p w14:paraId="2179FED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技术商务部分中不得出现报价部分的全部或部分的投标报价信息（或组成资料），否则视为投标无效。</w:t>
            </w:r>
          </w:p>
        </w:tc>
      </w:tr>
      <w:tr w14:paraId="063B19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7" w:type="dxa"/>
          </w:tcPr>
          <w:p w14:paraId="394A786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539" w:type="dxa"/>
          </w:tcPr>
          <w:p w14:paraId="528743E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未按招标文件第七章要求提供《技术和服务要求响应表》的，视为投标无效。</w:t>
            </w:r>
          </w:p>
        </w:tc>
      </w:tr>
    </w:tbl>
    <w:p w14:paraId="1BD0E62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商务符合性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4"/>
        <w:gridCol w:w="7572"/>
      </w:tblGrid>
      <w:tr w14:paraId="2FF0D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4" w:type="dxa"/>
          </w:tcPr>
          <w:p w14:paraId="48CE797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情形</w:t>
            </w:r>
          </w:p>
        </w:tc>
        <w:tc>
          <w:tcPr>
            <w:tcW w:w="7572" w:type="dxa"/>
          </w:tcPr>
          <w:p w14:paraId="504EAAE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14:paraId="3DC57A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4" w:type="dxa"/>
          </w:tcPr>
          <w:p w14:paraId="510B953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572" w:type="dxa"/>
          </w:tcPr>
          <w:p w14:paraId="368ACE9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技术商务部分中不得出现报价部分的全部或部分的投标报价信息（或组成资料），否则视为投标无效。</w:t>
            </w:r>
          </w:p>
        </w:tc>
      </w:tr>
      <w:tr w14:paraId="0FD1D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4" w:type="dxa"/>
          </w:tcPr>
          <w:p w14:paraId="297D6B4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572" w:type="dxa"/>
          </w:tcPr>
          <w:p w14:paraId="7579F13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未按招标文件第七章要求提供《商务条件响应表》的，视为投标无效。</w:t>
            </w:r>
          </w:p>
        </w:tc>
      </w:tr>
      <w:tr w14:paraId="52880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34" w:type="dxa"/>
          </w:tcPr>
          <w:p w14:paraId="6CD9277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7572" w:type="dxa"/>
          </w:tcPr>
          <w:p w14:paraId="21D61A8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投标人提供的商务条件均不得低于招标文件“商务条件”要求，否则视为投标无效。</w:t>
            </w:r>
          </w:p>
        </w:tc>
      </w:tr>
    </w:tbl>
    <w:p w14:paraId="2274C0F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价格符合性：</w:t>
      </w:r>
    </w:p>
    <w:tbl>
      <w:tblPr>
        <w:tblStyle w:val="7"/>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9"/>
        <w:gridCol w:w="7793"/>
      </w:tblGrid>
      <w:tr w14:paraId="1779BA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8" w:type="pct"/>
          </w:tcPr>
          <w:p w14:paraId="5E6259E1">
            <w:pPr>
              <w:pStyle w:val="11"/>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情形</w:t>
            </w:r>
          </w:p>
        </w:tc>
        <w:tc>
          <w:tcPr>
            <w:tcW w:w="4571" w:type="pct"/>
          </w:tcPr>
          <w:p w14:paraId="5741585D">
            <w:pPr>
              <w:pStyle w:val="11"/>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明细</w:t>
            </w:r>
          </w:p>
        </w:tc>
      </w:tr>
      <w:tr w14:paraId="7AA072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28" w:type="pct"/>
          </w:tcPr>
          <w:p w14:paraId="64BF5086">
            <w:pPr>
              <w:pStyle w:val="11"/>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其他情形</w:t>
            </w:r>
          </w:p>
        </w:tc>
        <w:tc>
          <w:tcPr>
            <w:tcW w:w="4571" w:type="pct"/>
          </w:tcPr>
          <w:p w14:paraId="55B7BFD9">
            <w:pPr>
              <w:pStyle w:val="11"/>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未按招标文件要求进行报价的（若有），视为无效投标。</w:t>
            </w:r>
          </w:p>
        </w:tc>
      </w:tr>
    </w:tbl>
    <w:p w14:paraId="319AFF63">
      <w:pPr>
        <w:pStyle w:val="11"/>
        <w:jc w:val="left"/>
        <w:rPr>
          <w:rFonts w:hint="eastAsia" w:ascii="宋体" w:hAnsi="宋体" w:eastAsia="宋体" w:cs="宋体"/>
          <w:color w:val="auto"/>
          <w:sz w:val="24"/>
          <w:szCs w:val="24"/>
        </w:rPr>
      </w:pPr>
    </w:p>
    <w:p w14:paraId="6AB65C9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6.3澄清有关问题</w:t>
      </w:r>
    </w:p>
    <w:p w14:paraId="0AA1067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（1）对通过符合性审查的电子投标文件中含义不明确、同类问题表述不一致或有明显文字和计算错误的内容，评标委员会将以书面形式要求投标人作出必要的澄清、说明或补正。</w:t>
      </w:r>
    </w:p>
    <w:p w14:paraId="04BA396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302EF42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（3）电子投标文件报价出现前后不一致的，除招标文件另有规定外，按照下列规定修正：</w:t>
      </w:r>
    </w:p>
    <w:p w14:paraId="6C5FDED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①开标（报价）一览表内容与电子投标文件中相应内容不一致的，以开标（报价）一览表为准；</w:t>
      </w:r>
    </w:p>
    <w:p w14:paraId="111E1BB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②大写金额和小写金额不一致的，以大写金额为准；</w:t>
      </w:r>
    </w:p>
    <w:p w14:paraId="2D10963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③单价金额小数点或百分比有明显错位的，以开标（报价）一览表的总价为准，并修改单价；</w:t>
      </w:r>
    </w:p>
    <w:p w14:paraId="415293C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④总价金额与按照单价汇总金额不一致的，以单价金额计算结果为准。</w:t>
      </w:r>
    </w:p>
    <w:p w14:paraId="28E5734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※同时出现两种以上不一致的，按照前款规定的顺序修正。修正后的报价应按照本章第6.3条第（1）、（2）款规定经投标人确认后产生约束力，投标人不确认的，其投标无效。</w:t>
      </w:r>
    </w:p>
    <w:p w14:paraId="6414E87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（4）关于细微偏差</w:t>
      </w:r>
    </w:p>
    <w:p w14:paraId="204D9E6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BFE01A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②评标委员会将以书面形式要求存在细微偏差的投标人在评标委员会规定的时间内予以补正。若无法补正，则评标委员会将按照不利于投标人的内容进行认定。</w:t>
      </w:r>
    </w:p>
    <w:p w14:paraId="7D45060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（5）关于投标描述（即电子投标文件中描述的内容）</w:t>
      </w:r>
    </w:p>
    <w:p w14:paraId="64591F8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①投标描述前后不一致且不涉及证明材料的：按照本章第6.3条第（1）、（2）款规定执行。</w:t>
      </w:r>
    </w:p>
    <w:p w14:paraId="7B8275E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②投标描述与证明材料不一致或多份证明材料之间不一致的：</w:t>
      </w:r>
    </w:p>
    <w:p w14:paraId="5FE18FB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a.评标委员会将要求投标人进行书面澄清，并按照不利于投标人的内容进行评标。</w:t>
      </w:r>
    </w:p>
    <w:p w14:paraId="7188B72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3520DFC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4E0C0F4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6.4比较与评价</w:t>
      </w:r>
    </w:p>
    <w:p w14:paraId="4966BBE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（1）按照本章第7条载明的评标方法和标准，对符合性审查合格的电子投标文件进行比较与评价。</w:t>
      </w:r>
    </w:p>
    <w:p w14:paraId="1BD62120">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（2）关于相同品牌产品（政府采购服务类项目不适用本条款规定）</w:t>
      </w:r>
    </w:p>
    <w:p w14:paraId="5ED8A20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28B263F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a.招标文件规定的方式：</w:t>
      </w:r>
    </w:p>
    <w:p w14:paraId="0F41E60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无</w:t>
      </w:r>
    </w:p>
    <w:p w14:paraId="7157445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b.招标文件未规定的，采取随机抽取方式确定，其他投标无效。</w:t>
      </w:r>
    </w:p>
    <w:p w14:paraId="37B2FF7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44C76BC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a.招标文件规定的方式：</w:t>
      </w:r>
    </w:p>
    <w:p w14:paraId="7EE27D0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无</w:t>
      </w:r>
    </w:p>
    <w:p w14:paraId="213AC42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b.招标文件未规定的，采取随机抽取方式确定，其他同品牌投标人不作为中标候选人。</w:t>
      </w:r>
    </w:p>
    <w:p w14:paraId="4CE4700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③非单一产品采购项目，多家投标人提供的核心产品品牌相同的，按照本章第6.4条第（2）款第①、②规定处理。</w:t>
      </w:r>
    </w:p>
    <w:p w14:paraId="639E79A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（3）漏（缺）项</w:t>
      </w:r>
    </w:p>
    <w:p w14:paraId="0A05414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①招标文件中要求列入报价的费用（含配置、功能），漏（缺）项的报价视为已经包括在投标总价中。</w:t>
      </w:r>
    </w:p>
    <w:p w14:paraId="26046ED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②对多报项及赠送项的价格评标时不予核减，全部进入评标价评议。</w:t>
      </w:r>
    </w:p>
    <w:p w14:paraId="3BE2E5FE">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6.5推荐中标候选人：详见本章第7.2条规定。</w:t>
      </w:r>
    </w:p>
    <w:p w14:paraId="4E81F87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6.6编写评标报告</w:t>
      </w:r>
    </w:p>
    <w:p w14:paraId="16446FC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（1）评标报告由评标委员会负责编写。</w:t>
      </w:r>
    </w:p>
    <w:p w14:paraId="21E55DD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（2）评标报告应包括下列内容：</w:t>
      </w:r>
    </w:p>
    <w:p w14:paraId="5933A56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①招标公告刊登的媒体名称、开标日期和地点；</w:t>
      </w:r>
    </w:p>
    <w:p w14:paraId="1C1505F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②投标人名单和评标委员会成员名单；</w:t>
      </w:r>
    </w:p>
    <w:p w14:paraId="21A9B5F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③评标方法和标准；</w:t>
      </w:r>
    </w:p>
    <w:p w14:paraId="4959098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④开标记录和评标情况及说明，包括无效投标人名单及原因；</w:t>
      </w:r>
    </w:p>
    <w:p w14:paraId="6A8A5E1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⑤评标结果，包括中标候选人名单或确定的中标人；</w:t>
      </w:r>
    </w:p>
    <w:p w14:paraId="4AC99BD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⑥其他需要说明的情况，包括但不限于：评标过程中投标人的澄清、说明或补正，评委更换等。</w:t>
      </w:r>
    </w:p>
    <w:p w14:paraId="2D540CB8">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54204E1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6.8评委对需要共同认定的事项存在争议的，应按照少数服从多数的原则进行认定。持不同意见的评委应在评标报告上签署不同意见及理由，否则视为同意评标报告。</w:t>
      </w:r>
    </w:p>
    <w:p w14:paraId="38539E7D">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6.9在评标过程中发现投标人有下列情形之一的，评标委员会应认定其投标无效，并书面报告本项目监督管理部门：</w:t>
      </w:r>
    </w:p>
    <w:p w14:paraId="09F4FE92">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（1）恶意串通（包括但不限于招标文件第三章第9.7条规定情形）；</w:t>
      </w:r>
    </w:p>
    <w:p w14:paraId="2027252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（2）妨碍其他投标人的竞争行为；</w:t>
      </w:r>
    </w:p>
    <w:p w14:paraId="2684E1A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（3）损害采购人或其他投标人的合法权益。</w:t>
      </w:r>
    </w:p>
    <w:p w14:paraId="0CF2FB0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6.10评标过程中，有下列情形之一的，应予废标：</w:t>
      </w:r>
    </w:p>
    <w:p w14:paraId="03DBDE8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（1）符合性审查合格的投标人不足三家的；</w:t>
      </w:r>
    </w:p>
    <w:p w14:paraId="594289E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（2）有关法律、法规和规章规定废标的情形。</w:t>
      </w:r>
    </w:p>
    <w:p w14:paraId="626F91FA">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※若废标，则本次采购活动结束， 福建华真招标代理有限公司 将依法组织后续采购活动（包括但不限于：重新招标、采用其他方式采购等）。</w:t>
      </w:r>
    </w:p>
    <w:p w14:paraId="6CC0DB51">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7、评标方法和标准</w:t>
      </w:r>
    </w:p>
    <w:p w14:paraId="2689856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7.1评标方法：</w:t>
      </w:r>
    </w:p>
    <w:p w14:paraId="0470D64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采购包1：综合评分法</w:t>
      </w:r>
    </w:p>
    <w:p w14:paraId="69E8CF14">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7.2评标标准</w:t>
      </w:r>
    </w:p>
    <w:p w14:paraId="591066C7">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采购包1：综合评分法</w:t>
      </w:r>
    </w:p>
    <w:p w14:paraId="089FC44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（1）投标文件满足招标文件全部实质性要求，且按照评审因素的量化指标评审得分（即评标总得分）最高的投标人为中标候选人。</w:t>
      </w:r>
    </w:p>
    <w:p w14:paraId="259CA22A">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0793780A">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各项评审因素的设置如下：</w:t>
      </w:r>
    </w:p>
    <w:p w14:paraId="3465035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价格项（F1×A1）满分为10.0000分</w:t>
      </w:r>
    </w:p>
    <w:p w14:paraId="492B661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11E58EA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价格扣除的规则如下：</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936"/>
        <w:gridCol w:w="4153"/>
      </w:tblGrid>
      <w:tr w14:paraId="2419CD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D36DFE8">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1661" w:type="dxa"/>
          </w:tcPr>
          <w:p w14:paraId="62724CFE">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适用对象</w:t>
            </w:r>
          </w:p>
        </w:tc>
        <w:tc>
          <w:tcPr>
            <w:tcW w:w="831" w:type="dxa"/>
          </w:tcPr>
          <w:p w14:paraId="6019643F">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比例</w:t>
            </w:r>
          </w:p>
        </w:tc>
        <w:tc>
          <w:tcPr>
            <w:tcW w:w="4153" w:type="dxa"/>
          </w:tcPr>
          <w:p w14:paraId="7CCC7269">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描述</w:t>
            </w:r>
          </w:p>
        </w:tc>
      </w:tr>
      <w:tr w14:paraId="5F3C8D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3E1974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小型、微型企业，监狱企业，残疾人福利性单位</w:t>
            </w:r>
          </w:p>
        </w:tc>
        <w:tc>
          <w:tcPr>
            <w:tcW w:w="1661" w:type="dxa"/>
          </w:tcPr>
          <w:p w14:paraId="31FCAB5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投标人或者联合体均为小型、微型企业</w:t>
            </w:r>
          </w:p>
        </w:tc>
        <w:tc>
          <w:tcPr>
            <w:tcW w:w="831" w:type="dxa"/>
          </w:tcPr>
          <w:p w14:paraId="0954699A">
            <w:pPr>
              <w:pStyle w:val="11"/>
              <w:jc w:val="right"/>
              <w:rPr>
                <w:rFonts w:hint="eastAsia" w:ascii="宋体" w:hAnsi="宋体" w:eastAsia="宋体" w:cs="宋体"/>
                <w:color w:val="auto"/>
                <w:sz w:val="24"/>
                <w:szCs w:val="24"/>
              </w:rPr>
            </w:pPr>
            <w:r>
              <w:rPr>
                <w:rFonts w:hint="eastAsia" w:ascii="宋体" w:hAnsi="宋体" w:eastAsia="宋体" w:cs="宋体"/>
                <w:color w:val="auto"/>
                <w:sz w:val="24"/>
                <w:szCs w:val="24"/>
              </w:rPr>
              <w:t>15.00%</w:t>
            </w:r>
          </w:p>
        </w:tc>
        <w:tc>
          <w:tcPr>
            <w:tcW w:w="4153" w:type="dxa"/>
          </w:tcPr>
          <w:p w14:paraId="50A881A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对小、微企业报价给予15%的扣除。2、联合协议或分包意向协议约定小微企业的合同份额占到合同总金额40%以上的，对联合体或者大中型企业的报价给予5%的扣除。3、监狱企业视同上述中小企业享受政府采购扶持政策。4、残疾人福利性单位提供本单位制造的货物、承担的工程或服务，或提供其他残疾人福利性单位制造的货物（不包括使用非残疾人福利性单位注册商标的货物），视同小微企业，按小微企业的扣除比例执行。残疾人福利性单位属于小型、微型企业的，不重复享受政策。5、采购标的对应的中小企业划分标准所属行业为：软件和信息技术服务业。※投标人应按照招标文件第七章规定提供相关声明函，未提供者不给予价格扣除。</w:t>
            </w:r>
          </w:p>
        </w:tc>
      </w:tr>
    </w:tbl>
    <w:p w14:paraId="431F8A0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优先类节能产品、环境标志产品的价格扣除规则如下</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1038"/>
        <w:gridCol w:w="5191"/>
      </w:tblGrid>
      <w:tr w14:paraId="6239D2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0AFDCEC">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1038" w:type="dxa"/>
          </w:tcPr>
          <w:p w14:paraId="2AF09A9B">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比例</w:t>
            </w:r>
          </w:p>
        </w:tc>
        <w:tc>
          <w:tcPr>
            <w:tcW w:w="5191" w:type="dxa"/>
          </w:tcPr>
          <w:p w14:paraId="65EF5860">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方法</w:t>
            </w:r>
          </w:p>
        </w:tc>
      </w:tr>
      <w:tr w14:paraId="0B73F5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CF3963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节能、环境标志产品</w:t>
            </w:r>
          </w:p>
        </w:tc>
        <w:tc>
          <w:tcPr>
            <w:tcW w:w="1038" w:type="dxa"/>
          </w:tcPr>
          <w:p w14:paraId="461A32C1">
            <w:pPr>
              <w:pStyle w:val="11"/>
              <w:jc w:val="right"/>
              <w:rPr>
                <w:rFonts w:hint="eastAsia" w:ascii="宋体" w:hAnsi="宋体" w:eastAsia="宋体" w:cs="宋体"/>
                <w:color w:val="auto"/>
                <w:sz w:val="24"/>
                <w:szCs w:val="24"/>
              </w:rPr>
            </w:pPr>
            <w:r>
              <w:rPr>
                <w:rFonts w:hint="eastAsia" w:ascii="宋体" w:hAnsi="宋体" w:eastAsia="宋体" w:cs="宋体"/>
                <w:color w:val="auto"/>
                <w:sz w:val="24"/>
                <w:szCs w:val="24"/>
              </w:rPr>
              <w:t>10.00%</w:t>
            </w:r>
          </w:p>
        </w:tc>
        <w:tc>
          <w:tcPr>
            <w:tcW w:w="5191" w:type="dxa"/>
          </w:tcPr>
          <w:p w14:paraId="146AB8E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1、根据财政部 发展改革委 生态环境部 市场监管总局印发《关于调整优化节能产品、环境标志产品政府采购执行机制的通知》(财库〔2019〕9号)的规定。依据国家确定的认证机构出具的、处于有效期之内的节能产品、环境标志产品认证证书，对获得证书的产品实施政府优先采购或强制采购。2、节能、减排、环境标志产品评审优惠内容及幅度，根据《福建省财政厅关于加强政府绿色采购工作的通知》闽财规〔2024〕3号规定，同一采购包内，对节能产品、环境标志产品政府采购品目清单范围内，实施优先采购的产品，给予产品价格报价10%的扣除，用扣除后的价格参加评审。3、投标人在投标时必须对属于节能、环境标志产品单独在优先类节能产品、环境标志产品统计表中填写，并提供产品的证明资料（国家确定的认证机构出具的、处于有效期之内的节能产品、环境标志产品认证证书复印件）附在报价部分且加盖投标人公章。未单独分项报价或未按规定提供产品的证明资料的不给予价格扣除。同一优先采购产品中各认证证书不重复计算价格扣除。强制类节能产品不进行价格扣除。同一采购包采购标的同时包含其它非优先采购产品的，投标人对优先采购产品和非优先采购产品进行分项报价，非优先采购产品的报价不得享受给予节能产品、环境标志产品的价格扣除优惠。若节能、环境标志产品仅是构成投标产品的部件、组件或零件的，则该投标产品不享受价格扣除。评标委员会审查此项响应性只根据投标文件本身的内容，而不寻求其他的外部证据。</w:t>
            </w:r>
          </w:p>
        </w:tc>
      </w:tr>
    </w:tbl>
    <w:p w14:paraId="10DCA4C1">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其他：无</w:t>
      </w:r>
    </w:p>
    <w:p w14:paraId="51A2202E">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技术项（F2×A2）满分为</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0.0000分</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86"/>
        <w:gridCol w:w="900"/>
        <w:gridCol w:w="1395"/>
        <w:gridCol w:w="5441"/>
      </w:tblGrid>
      <w:tr w14:paraId="0A576B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dxa"/>
          </w:tcPr>
          <w:p w14:paraId="73F6FE17">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900" w:type="dxa"/>
          </w:tcPr>
          <w:p w14:paraId="7FA537D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1395" w:type="dxa"/>
          </w:tcPr>
          <w:p w14:paraId="5154EB1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是否客观项</w:t>
            </w:r>
          </w:p>
        </w:tc>
        <w:tc>
          <w:tcPr>
            <w:tcW w:w="5441" w:type="dxa"/>
          </w:tcPr>
          <w:p w14:paraId="668FDA7A">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 xml:space="preserve"> 描述</w:t>
            </w:r>
          </w:p>
        </w:tc>
      </w:tr>
      <w:tr w14:paraId="05AA37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dxa"/>
          </w:tcPr>
          <w:p w14:paraId="703FAE7D">
            <w:pPr>
              <w:pStyle w:val="11"/>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1、技术参数响应情况</w:t>
            </w:r>
            <w:r>
              <w:rPr>
                <w:rFonts w:hint="eastAsia" w:ascii="宋体" w:hAnsi="宋体" w:eastAsia="宋体" w:cs="宋体"/>
                <w:color w:val="auto"/>
                <w:sz w:val="24"/>
                <w:szCs w:val="24"/>
                <w:highlight w:val="none"/>
                <w:lang w:val="en-US" w:eastAsia="zh-CN"/>
              </w:rPr>
              <w:t>1</w:t>
            </w:r>
          </w:p>
        </w:tc>
        <w:tc>
          <w:tcPr>
            <w:tcW w:w="900" w:type="dxa"/>
          </w:tcPr>
          <w:p w14:paraId="221678AB">
            <w:pPr>
              <w:pStyle w:val="11"/>
              <w:jc w:val="both"/>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30.00</w:t>
            </w:r>
          </w:p>
        </w:tc>
        <w:tc>
          <w:tcPr>
            <w:tcW w:w="1395" w:type="dxa"/>
          </w:tcPr>
          <w:p w14:paraId="28CB53CB">
            <w:pPr>
              <w:pStyle w:val="1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5441" w:type="dxa"/>
          </w:tcPr>
          <w:p w14:paraId="07A7FBC4">
            <w:pPr>
              <w:pStyle w:val="1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根据各投标人对第五章招标内容及要求中“二、技术和服务要求”逐项响应情况进行评分：其中标注“★”的重要技术指标，不允许负偏离，出现负偏离则按无效投标处理；其中标注“▲”的技术参数（共</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项），每负偏离一项扣</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分，正偏离不加分。</w:t>
            </w:r>
          </w:p>
        </w:tc>
      </w:tr>
      <w:tr w14:paraId="4E1B39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dxa"/>
          </w:tcPr>
          <w:p w14:paraId="3DF42E60">
            <w:pPr>
              <w:pStyle w:val="11"/>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1、技术参数响应情况</w:t>
            </w:r>
            <w:r>
              <w:rPr>
                <w:rFonts w:hint="eastAsia" w:ascii="宋体" w:hAnsi="宋体" w:eastAsia="宋体" w:cs="宋体"/>
                <w:color w:val="auto"/>
                <w:sz w:val="24"/>
                <w:szCs w:val="24"/>
                <w:highlight w:val="none"/>
                <w:lang w:val="en-US" w:eastAsia="zh-CN"/>
              </w:rPr>
              <w:t>2</w:t>
            </w:r>
          </w:p>
        </w:tc>
        <w:tc>
          <w:tcPr>
            <w:tcW w:w="900" w:type="dxa"/>
          </w:tcPr>
          <w:p w14:paraId="25B14E2F">
            <w:pPr>
              <w:pStyle w:val="11"/>
              <w:jc w:val="both"/>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3</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0</w:t>
            </w:r>
          </w:p>
        </w:tc>
        <w:tc>
          <w:tcPr>
            <w:tcW w:w="1395" w:type="dxa"/>
          </w:tcPr>
          <w:p w14:paraId="0EA519AF">
            <w:pPr>
              <w:pStyle w:val="1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w:t>
            </w:r>
          </w:p>
        </w:tc>
        <w:tc>
          <w:tcPr>
            <w:tcW w:w="5441" w:type="dxa"/>
          </w:tcPr>
          <w:p w14:paraId="2A4D9F93">
            <w:pPr>
              <w:pStyle w:val="11"/>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根据各投标人对第五章招标内容及要求中“二、技术和服务要求”逐项响应情况进行评分：其中未标注“★”“▲”的技术参数（共计</w:t>
            </w:r>
            <w:r>
              <w:rPr>
                <w:rFonts w:hint="eastAsia" w:ascii="宋体" w:hAnsi="宋体" w:cs="宋体"/>
                <w:color w:val="auto"/>
                <w:sz w:val="24"/>
                <w:szCs w:val="24"/>
                <w:highlight w:val="none"/>
                <w:lang w:val="en-US" w:eastAsia="zh-CN"/>
              </w:rPr>
              <w:t>62</w:t>
            </w:r>
            <w:r>
              <w:rPr>
                <w:rFonts w:hint="eastAsia" w:ascii="宋体" w:hAnsi="宋体" w:eastAsia="宋体" w:cs="宋体"/>
                <w:color w:val="auto"/>
                <w:sz w:val="24"/>
                <w:szCs w:val="24"/>
                <w:highlight w:val="none"/>
              </w:rPr>
              <w:t>项），每负偏离一项扣0.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分，正偏离不加分。</w:t>
            </w:r>
          </w:p>
        </w:tc>
      </w:tr>
      <w:tr w14:paraId="07E230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dxa"/>
          </w:tcPr>
          <w:p w14:paraId="4F3C14E9">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、项目实施方案</w:t>
            </w:r>
          </w:p>
        </w:tc>
        <w:tc>
          <w:tcPr>
            <w:tcW w:w="900" w:type="dxa"/>
          </w:tcPr>
          <w:p w14:paraId="2FC72273">
            <w:pPr>
              <w:pStyle w:val="11"/>
              <w:jc w:val="right"/>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0</w:t>
            </w:r>
          </w:p>
        </w:tc>
        <w:tc>
          <w:tcPr>
            <w:tcW w:w="1395" w:type="dxa"/>
          </w:tcPr>
          <w:p w14:paraId="23F5088D">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否</w:t>
            </w:r>
          </w:p>
        </w:tc>
        <w:tc>
          <w:tcPr>
            <w:tcW w:w="5441" w:type="dxa"/>
          </w:tcPr>
          <w:p w14:paraId="02AD3017">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根据各投标人针对本项目制定的</w:t>
            </w:r>
            <w:r>
              <w:rPr>
                <w:rFonts w:hint="eastAsia" w:ascii="宋体" w:hAnsi="宋体" w:eastAsia="宋体" w:cs="宋体"/>
                <w:color w:val="auto"/>
                <w:sz w:val="24"/>
                <w:szCs w:val="24"/>
                <w:lang w:eastAsia="zh-CN"/>
              </w:rPr>
              <w:t>项目</w:t>
            </w:r>
            <w:r>
              <w:rPr>
                <w:rFonts w:hint="eastAsia" w:ascii="宋体" w:hAnsi="宋体" w:eastAsia="宋体" w:cs="宋体"/>
                <w:color w:val="auto"/>
                <w:sz w:val="24"/>
                <w:szCs w:val="24"/>
              </w:rPr>
              <w:t>实施方案（包括但不限于项目建设目标、系统总体架构、项目需求分析、控制计划、项目人员组成及职责安排、项目质量管理计划、突发事件应急措施、服务保障措施、服务内容等），由评标委员会进行评分：①方案能满足需求、可操作性强的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分；②方案内容完整，但对需求的把握不到位、可操作性欠缺的得</w:t>
            </w: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分；③方案缺漏或可行性基本满足要求的得</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分；未提供或提供不全的不得分。</w:t>
            </w:r>
          </w:p>
        </w:tc>
      </w:tr>
      <w:tr w14:paraId="0639C7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dxa"/>
          </w:tcPr>
          <w:p w14:paraId="79390DE3">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、项目管理方案</w:t>
            </w:r>
          </w:p>
        </w:tc>
        <w:tc>
          <w:tcPr>
            <w:tcW w:w="900" w:type="dxa"/>
          </w:tcPr>
          <w:p w14:paraId="51858C6A">
            <w:pPr>
              <w:pStyle w:val="11"/>
              <w:jc w:val="righ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0</w:t>
            </w:r>
          </w:p>
        </w:tc>
        <w:tc>
          <w:tcPr>
            <w:tcW w:w="1395" w:type="dxa"/>
          </w:tcPr>
          <w:p w14:paraId="2E6225DE">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否</w:t>
            </w:r>
          </w:p>
        </w:tc>
        <w:tc>
          <w:tcPr>
            <w:tcW w:w="5441" w:type="dxa"/>
          </w:tcPr>
          <w:p w14:paraId="6D806741">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根据各投标人针对本项目制定的项目管理方案（进度控制、质量保证、范围控制、配置管理、文档管理、风险控制、人员控制等），由评标委员会进行评分：①方案能满足需求、可操作性强的得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0</w:t>
            </w:r>
            <w:r>
              <w:rPr>
                <w:rFonts w:hint="eastAsia" w:ascii="宋体" w:hAnsi="宋体" w:eastAsia="宋体" w:cs="宋体"/>
                <w:color w:val="auto"/>
                <w:sz w:val="24"/>
                <w:szCs w:val="24"/>
              </w:rPr>
              <w:t>分；②方案内容完整，但对需求的把握不到位、可操作性欠缺的得</w:t>
            </w: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分；③方案缺漏或可行性基本满足要求的得</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分；未提供或提供不全的不得分。</w:t>
            </w:r>
          </w:p>
        </w:tc>
      </w:tr>
      <w:tr w14:paraId="49517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dxa"/>
          </w:tcPr>
          <w:p w14:paraId="111F12BE">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4、售后服务保障方案</w:t>
            </w:r>
          </w:p>
        </w:tc>
        <w:tc>
          <w:tcPr>
            <w:tcW w:w="900" w:type="dxa"/>
          </w:tcPr>
          <w:p w14:paraId="1EDDE7B6">
            <w:pPr>
              <w:pStyle w:val="11"/>
              <w:jc w:val="right"/>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0</w:t>
            </w:r>
          </w:p>
        </w:tc>
        <w:tc>
          <w:tcPr>
            <w:tcW w:w="1395" w:type="dxa"/>
          </w:tcPr>
          <w:p w14:paraId="50D1D6DA">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否</w:t>
            </w:r>
          </w:p>
        </w:tc>
        <w:tc>
          <w:tcPr>
            <w:tcW w:w="5441" w:type="dxa"/>
          </w:tcPr>
          <w:p w14:paraId="19B004F7">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根据各投标人</w:t>
            </w:r>
            <w:r>
              <w:rPr>
                <w:rFonts w:hint="eastAsia" w:ascii="宋体" w:hAnsi="宋体" w:eastAsia="宋体" w:cs="宋体"/>
                <w:color w:val="auto"/>
                <w:sz w:val="24"/>
                <w:szCs w:val="24"/>
              </w:rPr>
              <w:t>针对本项目制定的</w:t>
            </w:r>
            <w:r>
              <w:rPr>
                <w:rFonts w:hint="eastAsia" w:ascii="宋体" w:hAnsi="宋体" w:eastAsia="宋体" w:cs="宋体"/>
                <w:color w:val="auto"/>
                <w:sz w:val="24"/>
                <w:szCs w:val="24"/>
                <w:lang w:val="en-US" w:eastAsia="zh-CN"/>
              </w:rPr>
              <w:t>售后服务保障方案（包括但不限于质保期内及质保期满后的服务保障内容、应急处置措施、售后人员配备、技术支持等内容），</w:t>
            </w:r>
            <w:r>
              <w:rPr>
                <w:rFonts w:hint="eastAsia" w:ascii="宋体" w:hAnsi="宋体" w:eastAsia="宋体" w:cs="宋体"/>
                <w:color w:val="auto"/>
                <w:sz w:val="24"/>
                <w:szCs w:val="24"/>
              </w:rPr>
              <w:t>由评标委员会进行评分：①</w:t>
            </w:r>
            <w:r>
              <w:rPr>
                <w:rFonts w:hint="eastAsia" w:ascii="宋体" w:hAnsi="宋体" w:eastAsia="宋体" w:cs="宋体"/>
                <w:color w:val="auto"/>
                <w:sz w:val="24"/>
                <w:szCs w:val="24"/>
                <w:lang w:val="en-US" w:eastAsia="zh-CN"/>
              </w:rPr>
              <w:t>售后服务保障方案全面详细，服务保障内容、应急处置措施、售后人员配备有详细的介绍，与技术支持充分完备的，得</w:t>
            </w:r>
            <w:r>
              <w:rPr>
                <w:rFonts w:hint="eastAsia" w:ascii="宋体" w:hAnsi="宋体" w:cs="宋体"/>
                <w:color w:val="auto"/>
                <w:sz w:val="24"/>
                <w:szCs w:val="24"/>
                <w:lang w:val="en-US" w:eastAsia="zh-CN"/>
              </w:rPr>
              <w:t>2.0</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rPr>
              <w:t>②</w:t>
            </w:r>
            <w:r>
              <w:rPr>
                <w:rFonts w:hint="eastAsia" w:ascii="宋体" w:hAnsi="宋体" w:eastAsia="宋体" w:cs="宋体"/>
                <w:color w:val="auto"/>
                <w:sz w:val="24"/>
                <w:szCs w:val="24"/>
                <w:lang w:val="en-US" w:eastAsia="zh-CN"/>
              </w:rPr>
              <w:t>售后服务保障方案完整，服务保障内容合理、应急处置措施、售后人员配备有较为详细的介绍，技术支持较完备的，得1</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rPr>
              <w:t>③</w:t>
            </w:r>
            <w:r>
              <w:rPr>
                <w:rFonts w:hint="eastAsia" w:ascii="宋体" w:hAnsi="宋体" w:eastAsia="宋体" w:cs="宋体"/>
                <w:color w:val="auto"/>
                <w:sz w:val="24"/>
                <w:szCs w:val="24"/>
                <w:lang w:val="en-US" w:eastAsia="zh-CN"/>
              </w:rPr>
              <w:t>售后服务保障方案不完整，描述简单，不满足项目需求的，得</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val="en-US" w:eastAsia="zh-CN"/>
              </w:rPr>
              <w:t>分；</w:t>
            </w:r>
            <w:r>
              <w:rPr>
                <w:rFonts w:hint="eastAsia" w:ascii="宋体" w:hAnsi="宋体" w:eastAsia="宋体" w:cs="宋体"/>
                <w:color w:val="auto"/>
                <w:sz w:val="24"/>
                <w:szCs w:val="24"/>
              </w:rPr>
              <w:t>未提供或提供不全的不得分。</w:t>
            </w:r>
          </w:p>
        </w:tc>
      </w:tr>
      <w:tr w14:paraId="06BA5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6" w:type="dxa"/>
            <w:shd w:val="clear" w:color="auto" w:fill="auto"/>
          </w:tcPr>
          <w:p w14:paraId="73425F3E">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5、技术实力1</w:t>
            </w:r>
          </w:p>
        </w:tc>
        <w:tc>
          <w:tcPr>
            <w:tcW w:w="900" w:type="dxa"/>
            <w:shd w:val="clear" w:color="auto" w:fill="auto"/>
          </w:tcPr>
          <w:p w14:paraId="3784305B">
            <w:pPr>
              <w:pStyle w:val="11"/>
              <w:jc w:val="righ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0</w:t>
            </w:r>
          </w:p>
        </w:tc>
        <w:tc>
          <w:tcPr>
            <w:tcW w:w="1395" w:type="dxa"/>
            <w:shd w:val="clear" w:color="auto" w:fill="auto"/>
          </w:tcPr>
          <w:p w14:paraId="32301CA0">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是</w:t>
            </w:r>
          </w:p>
        </w:tc>
        <w:tc>
          <w:tcPr>
            <w:tcW w:w="5441" w:type="dxa"/>
            <w:shd w:val="clear" w:color="auto" w:fill="auto"/>
          </w:tcPr>
          <w:p w14:paraId="1E404C3D">
            <w:pPr>
              <w:pStyle w:val="11"/>
              <w:keepNext w:val="0"/>
              <w:keepLines w:val="0"/>
              <w:pageBreakBefore w:val="0"/>
              <w:widowControl/>
              <w:kinsoku/>
              <w:wordWrap w:val="0"/>
              <w:overflowPunct/>
              <w:topLinePunct w:val="0"/>
              <w:autoSpaceDE/>
              <w:autoSpaceDN/>
              <w:bidi w:val="0"/>
              <w:adjustRightInd/>
              <w:snapToGrid/>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投标人所投平台具备安全生产平台软件相关著作权的得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分。</w:t>
            </w:r>
          </w:p>
          <w:p w14:paraId="394D91F3">
            <w:pPr>
              <w:pStyle w:val="11"/>
              <w:keepNext w:val="0"/>
              <w:keepLines w:val="0"/>
              <w:pageBreakBefore w:val="0"/>
              <w:widowControl/>
              <w:kinsoku/>
              <w:wordWrap w:val="0"/>
              <w:overflowPunct/>
              <w:topLinePunct w:val="0"/>
              <w:autoSpaceDE/>
              <w:autoSpaceDN/>
              <w:bidi w:val="0"/>
              <w:adjustRightInd/>
              <w:snapToGrid/>
              <w:jc w:val="both"/>
              <w:textAlignment w:val="auto"/>
              <w:rPr>
                <w:rFonts w:hint="eastAsia" w:ascii="宋体" w:hAnsi="宋体" w:eastAsia="宋体" w:cs="宋体"/>
                <w:color w:val="auto"/>
                <w:sz w:val="24"/>
                <w:szCs w:val="24"/>
                <w:lang w:val="en-US" w:eastAsia="zh-CN"/>
              </w:rPr>
            </w:pPr>
            <w:r>
              <w:rPr>
                <w:rFonts w:hint="eastAsia" w:ascii="宋体" w:hAnsi="宋体"/>
                <w:color w:val="auto"/>
                <w:sz w:val="24"/>
                <w:szCs w:val="24"/>
                <w:lang w:eastAsia="zh-CN"/>
              </w:rPr>
              <w:t>①软件著作权为投标人自有的，须提供国家版权局颁发的软件著作权登记证书复印件或扫描件及中国版权保护中心著作权登记系统https://register.ccopyright.com.cn/query.html登记查询页面截图，截图须能看到网址（登记人为中标人）的和中标后应用于本项目的承诺函。②软件为外购的，须提供购买合同（出售方须为原始软件著作权登记人）、正式发票（开票单位须为原始软件著作权登记人）、国家版权局颁发的软件著作权登记证书复印件或扫描件及中国版权保护中心著作权登记系统https://register.ccopyright.com.cn/query.html登记查询页面截图，截图须能看到网址。（登记人须与上述合同中出售方及出售发票开票人一致）和中标后应用于本项目的承诺函。投标人未按照上述要求提供或提供的承诺函及相关材料不符合要求的不得分。（所登记注册的名称可以与上述名称略有不同，但必须是功能相同的产品。所提供著作权名称与评分要求不同时，应提供功能说明及包含的关键信息，相应系统功能应符合采购要求。）</w:t>
            </w:r>
          </w:p>
        </w:tc>
      </w:tr>
    </w:tbl>
    <w:p w14:paraId="104C409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商务项（F3×A3）满分为</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0.0000分</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6"/>
        <w:gridCol w:w="810"/>
        <w:gridCol w:w="1475"/>
        <w:gridCol w:w="5096"/>
      </w:tblGrid>
      <w:tr w14:paraId="31D100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4AFAC2A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 xml:space="preserve"> 项目</w:t>
            </w:r>
          </w:p>
        </w:tc>
        <w:tc>
          <w:tcPr>
            <w:tcW w:w="810" w:type="dxa"/>
          </w:tcPr>
          <w:p w14:paraId="7A0ED47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分值</w:t>
            </w:r>
          </w:p>
        </w:tc>
        <w:tc>
          <w:tcPr>
            <w:tcW w:w="1475" w:type="dxa"/>
          </w:tcPr>
          <w:p w14:paraId="1650F584">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是否客观项</w:t>
            </w:r>
          </w:p>
        </w:tc>
        <w:tc>
          <w:tcPr>
            <w:tcW w:w="5096" w:type="dxa"/>
          </w:tcPr>
          <w:p w14:paraId="54D6EC7D">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 xml:space="preserve"> 描述</w:t>
            </w:r>
          </w:p>
        </w:tc>
      </w:tr>
      <w:tr w14:paraId="22B48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6E59C45A">
            <w:pPr>
              <w:pStyle w:val="11"/>
              <w:jc w:val="both"/>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eastAsia="zh-CN"/>
              </w:rPr>
              <w:t>综合实力（一）</w:t>
            </w:r>
          </w:p>
        </w:tc>
        <w:tc>
          <w:tcPr>
            <w:tcW w:w="810" w:type="dxa"/>
          </w:tcPr>
          <w:p w14:paraId="11845FB0">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.00</w:t>
            </w:r>
          </w:p>
        </w:tc>
        <w:tc>
          <w:tcPr>
            <w:tcW w:w="1475" w:type="dxa"/>
          </w:tcPr>
          <w:p w14:paraId="0F475B4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是</w:t>
            </w:r>
          </w:p>
        </w:tc>
        <w:tc>
          <w:tcPr>
            <w:tcW w:w="5096" w:type="dxa"/>
          </w:tcPr>
          <w:p w14:paraId="6DF259C4">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投标人具有应用程序安全管理体系认证证书的得3分，须提供有效证书复印件并加盖投标人公章，否则不得分。</w:t>
            </w:r>
          </w:p>
          <w:p w14:paraId="339A7B3F">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以上体系证书认证范围需包含:信息系统集成类或计算机应用软件开发类相关服务。</w:t>
            </w:r>
          </w:p>
          <w:p w14:paraId="776F7A4B">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注：须提供有效证书复印件和中国国家认证认可监督管理委员会(http://www.cnca.gov.cn)或中国合格评定国家认可委员会(https://www.cnas.org.cn)网站的下载网页并注明网址，未提供或提供不全的不得分。</w:t>
            </w:r>
          </w:p>
        </w:tc>
      </w:tr>
      <w:tr w14:paraId="50FEB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4D1F0CCC">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综合实力（二）</w:t>
            </w:r>
          </w:p>
        </w:tc>
        <w:tc>
          <w:tcPr>
            <w:tcW w:w="810" w:type="dxa"/>
          </w:tcPr>
          <w:p w14:paraId="550FA10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.00</w:t>
            </w:r>
          </w:p>
        </w:tc>
        <w:tc>
          <w:tcPr>
            <w:tcW w:w="1475" w:type="dxa"/>
          </w:tcPr>
          <w:p w14:paraId="517A949D">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是</w:t>
            </w:r>
          </w:p>
        </w:tc>
        <w:tc>
          <w:tcPr>
            <w:tcW w:w="5096" w:type="dxa"/>
          </w:tcPr>
          <w:p w14:paraId="5074E3B7">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投标人具有大数据服务安全能力管理体系认证证书的得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分，须提供有效证书复印件并加盖投标人公章，否则不得分。</w:t>
            </w:r>
          </w:p>
          <w:p w14:paraId="32883D62">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以上体系证书认证范围需包含:信息系统集成类或计算机应用软件开发类相关服务。</w:t>
            </w:r>
          </w:p>
          <w:p w14:paraId="026DDBA8">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注：须提供有效证书复印件和中国国家认证认可监督管理委员会(http://www.cnca.gov.cn)或中国合格评定国家认可委员会(https://www.cnas.org.cn)网站的下载网页并注明网址，未提供或提供不全的不得分。</w:t>
            </w:r>
          </w:p>
        </w:tc>
      </w:tr>
      <w:tr w14:paraId="1DB85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3B1B1900">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综合实力</w:t>
            </w:r>
            <w:r>
              <w:rPr>
                <w:rFonts w:hint="eastAsia" w:ascii="宋体" w:hAnsi="宋体" w:eastAsia="宋体" w:cs="宋体"/>
                <w:color w:val="auto"/>
                <w:sz w:val="24"/>
                <w:szCs w:val="24"/>
              </w:rPr>
              <w:t>（三）</w:t>
            </w:r>
          </w:p>
        </w:tc>
        <w:tc>
          <w:tcPr>
            <w:tcW w:w="810" w:type="dxa"/>
          </w:tcPr>
          <w:p w14:paraId="4A922556">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.00</w:t>
            </w:r>
          </w:p>
        </w:tc>
        <w:tc>
          <w:tcPr>
            <w:tcW w:w="1475" w:type="dxa"/>
          </w:tcPr>
          <w:p w14:paraId="25FAAC80">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是</w:t>
            </w:r>
          </w:p>
        </w:tc>
        <w:tc>
          <w:tcPr>
            <w:tcW w:w="5096" w:type="dxa"/>
          </w:tcPr>
          <w:p w14:paraId="7B84E83E">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投标人具有网络空间安全管理体系认证证书的得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eastAsia="zh-CN"/>
              </w:rPr>
              <w:t>分，须提供有效证书复印件并加盖投标人公章，否则不得分。</w:t>
            </w:r>
          </w:p>
          <w:p w14:paraId="0B1D2B29">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以上体系证书认证范围需包含:信息系统集成类或计算机应用软件开发类相关服务。</w:t>
            </w:r>
          </w:p>
          <w:p w14:paraId="4C2D5914">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注：须提供有效证书复印件和中国国家认证认可监督管理委员会(http://www.cnca.gov.cn)或中国合格评定国家认可委员会(https://www.cnas.org.cn)网站的下载网页并注明网址，未提供或提供不全的不得分。</w:t>
            </w:r>
          </w:p>
        </w:tc>
      </w:tr>
      <w:tr w14:paraId="3AFC5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7EA23A47">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、技术服务人员配置（一）</w:t>
            </w:r>
          </w:p>
        </w:tc>
        <w:tc>
          <w:tcPr>
            <w:tcW w:w="810" w:type="dxa"/>
          </w:tcPr>
          <w:p w14:paraId="085F3802">
            <w:pPr>
              <w:pStyle w:val="11"/>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.00</w:t>
            </w:r>
          </w:p>
        </w:tc>
        <w:tc>
          <w:tcPr>
            <w:tcW w:w="1475" w:type="dxa"/>
          </w:tcPr>
          <w:p w14:paraId="30CD9480">
            <w:pPr>
              <w:pStyle w:val="11"/>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是</w:t>
            </w:r>
          </w:p>
        </w:tc>
        <w:tc>
          <w:tcPr>
            <w:tcW w:w="5096" w:type="dxa"/>
          </w:tcPr>
          <w:p w14:paraId="1F2207E9">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投标人针对本项目拟派的项目经理具有①系统规划与管理师；②网络规划设计师；③信息系统项目管理师。具有上述证书1种的得1分，具有上述证书2种的得2分，具有上述证书3种的得3分。须提供该项目</w:t>
            </w:r>
            <w:r>
              <w:rPr>
                <w:rFonts w:hint="eastAsia" w:ascii="宋体" w:hAnsi="宋体" w:cs="宋体"/>
                <w:color w:val="auto"/>
                <w:sz w:val="24"/>
                <w:szCs w:val="24"/>
                <w:lang w:val="en-US" w:eastAsia="zh-CN"/>
              </w:rPr>
              <w:t>经理</w:t>
            </w:r>
            <w:r>
              <w:rPr>
                <w:rFonts w:hint="eastAsia" w:ascii="宋体" w:hAnsi="宋体" w:eastAsia="宋体" w:cs="宋体"/>
                <w:color w:val="auto"/>
                <w:sz w:val="24"/>
                <w:szCs w:val="24"/>
                <w:lang w:val="en-US" w:eastAsia="zh-CN"/>
              </w:rPr>
              <w:t>的相关证书复印件及投标截止时间前（不含投标截止时间当月）六个月内任意一个月投标人为拟投入人员缴纳的社保证明材料，未提供的不得分。注：此评分项与其它评分项中提供的人员不得重复得分。</w:t>
            </w:r>
          </w:p>
        </w:tc>
      </w:tr>
      <w:tr w14:paraId="31A53E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2D39033C">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、技术服务人员配置（二）</w:t>
            </w:r>
          </w:p>
        </w:tc>
        <w:tc>
          <w:tcPr>
            <w:tcW w:w="810" w:type="dxa"/>
          </w:tcPr>
          <w:p w14:paraId="3873B7AC">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3.00</w:t>
            </w:r>
          </w:p>
        </w:tc>
        <w:tc>
          <w:tcPr>
            <w:tcW w:w="1475" w:type="dxa"/>
          </w:tcPr>
          <w:p w14:paraId="51515155">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096" w:type="dxa"/>
          </w:tcPr>
          <w:p w14:paraId="056F8B11">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投标人拟投入本项目的项目技术负责人具有①网络工程师；②信息系统监理师；③数据库系统工程师；④信息安全工程师；⑤软件设计师</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具有上述证书3种的得1分，具有上述证书4种的得2分，具有上述证书5种的得3分。须提供该项目技术负责人的相关证书复印件及投标截止时间前（不含投标截止时间当月）六个月内任意一个月投标人为拟投入人员缴纳的社保证明材料，未提供的不得分。注：此评分项与其它评分项中提供的人员不得重复得分。</w:t>
            </w:r>
          </w:p>
        </w:tc>
      </w:tr>
      <w:tr w14:paraId="6465C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32526883">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、技术服务人员配置（</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lang w:eastAsia="zh-CN"/>
              </w:rPr>
              <w:t>）</w:t>
            </w:r>
          </w:p>
        </w:tc>
        <w:tc>
          <w:tcPr>
            <w:tcW w:w="810" w:type="dxa"/>
          </w:tcPr>
          <w:p w14:paraId="78A9311D">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.00</w:t>
            </w:r>
          </w:p>
        </w:tc>
        <w:tc>
          <w:tcPr>
            <w:tcW w:w="1475" w:type="dxa"/>
          </w:tcPr>
          <w:p w14:paraId="1AC582DE">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096" w:type="dxa"/>
          </w:tcPr>
          <w:p w14:paraId="67B4580E">
            <w:pPr>
              <w:pStyle w:val="11"/>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投标人针对</w:t>
            </w:r>
            <w:r>
              <w:rPr>
                <w:rFonts w:hint="eastAsia" w:ascii="宋体" w:hAnsi="宋体" w:eastAsia="宋体" w:cs="宋体"/>
                <w:color w:val="auto"/>
                <w:sz w:val="24"/>
                <w:szCs w:val="24"/>
                <w:highlight w:val="none"/>
                <w:lang w:val="en-US" w:eastAsia="zh-CN"/>
              </w:rPr>
              <w:t>本项目拟派的运维负责人需具有：</w:t>
            </w:r>
          </w:p>
          <w:p w14:paraId="4DFB0F39">
            <w:pPr>
              <w:pStyle w:val="11"/>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①信息系统项目管理师证书；②注册信息安全专业人员（CISP）；③信息安全工程师；</w:t>
            </w:r>
          </w:p>
          <w:p w14:paraId="20D884A8">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highlight w:val="none"/>
                <w:lang w:val="en-US" w:eastAsia="zh-CN"/>
              </w:rPr>
              <w:t>具有上述证书1种的得1分，具有上述证书2种的得2分，具有上</w:t>
            </w:r>
            <w:r>
              <w:rPr>
                <w:rFonts w:hint="eastAsia" w:ascii="宋体" w:hAnsi="宋体" w:eastAsia="宋体" w:cs="宋体"/>
                <w:color w:val="auto"/>
                <w:sz w:val="24"/>
                <w:szCs w:val="24"/>
                <w:lang w:val="en-US" w:eastAsia="zh-CN"/>
              </w:rPr>
              <w:t>述证书3种的得3分。须提供该运维负责人的相关证书复印件及投标截止时间前（不含投标截止时间当月）六个月内任意一个月投标人为拟投入人员缴纳的社保证明材料，未提供的不得分。注：此评分项与其它评分项中提供的人员不得重复得分。</w:t>
            </w:r>
          </w:p>
        </w:tc>
      </w:tr>
      <w:tr w14:paraId="4CA87B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6C0BE13E">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、技术服务人员配置（</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lang w:eastAsia="zh-CN"/>
              </w:rPr>
              <w:t>）</w:t>
            </w:r>
          </w:p>
        </w:tc>
        <w:tc>
          <w:tcPr>
            <w:tcW w:w="810" w:type="dxa"/>
          </w:tcPr>
          <w:p w14:paraId="06D96484">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.00</w:t>
            </w:r>
          </w:p>
        </w:tc>
        <w:tc>
          <w:tcPr>
            <w:tcW w:w="1475" w:type="dxa"/>
          </w:tcPr>
          <w:p w14:paraId="5BFDCA8D">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096" w:type="dxa"/>
          </w:tcPr>
          <w:p w14:paraId="7A774C05">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投标人拟为本项目配备的</w:t>
            </w:r>
            <w:r>
              <w:rPr>
                <w:rFonts w:hint="eastAsia" w:ascii="宋体" w:hAnsi="宋体" w:cs="宋体"/>
                <w:color w:val="auto"/>
                <w:sz w:val="24"/>
                <w:szCs w:val="24"/>
                <w:lang w:val="en-US" w:eastAsia="zh-CN"/>
              </w:rPr>
              <w:t>安全负责人</w:t>
            </w:r>
            <w:r>
              <w:rPr>
                <w:rFonts w:hint="eastAsia" w:ascii="宋体" w:hAnsi="宋体" w:eastAsia="宋体" w:cs="宋体"/>
                <w:color w:val="auto"/>
                <w:sz w:val="24"/>
                <w:szCs w:val="24"/>
                <w:lang w:val="en-US" w:eastAsia="zh-CN"/>
              </w:rPr>
              <w:t>需具有</w:t>
            </w:r>
            <w:r>
              <w:rPr>
                <w:rFonts w:hint="eastAsia" w:ascii="宋体" w:hAnsi="宋体" w:cs="宋体"/>
                <w:color w:val="auto"/>
                <w:sz w:val="24"/>
                <w:szCs w:val="24"/>
                <w:lang w:val="en-US" w:eastAsia="zh-CN"/>
              </w:rPr>
              <w:t>：①</w:t>
            </w:r>
            <w:r>
              <w:rPr>
                <w:rFonts w:hint="eastAsia" w:ascii="宋体" w:hAnsi="宋体" w:eastAsia="宋体" w:cs="宋体"/>
                <w:color w:val="auto"/>
                <w:sz w:val="24"/>
                <w:szCs w:val="24"/>
                <w:lang w:val="en-US" w:eastAsia="zh-CN"/>
              </w:rPr>
              <w:t>网络工程师</w:t>
            </w:r>
            <w:r>
              <w:rPr>
                <w:rFonts w:hint="eastAsia" w:ascii="宋体" w:hAnsi="宋体" w:cs="宋体"/>
                <w:color w:val="auto"/>
                <w:sz w:val="24"/>
                <w:szCs w:val="24"/>
                <w:lang w:val="en-US" w:eastAsia="zh-CN"/>
              </w:rPr>
              <w:t>；②</w:t>
            </w:r>
            <w:r>
              <w:rPr>
                <w:rFonts w:hint="eastAsia" w:ascii="宋体" w:hAnsi="宋体" w:eastAsia="宋体" w:cs="宋体"/>
                <w:color w:val="auto"/>
                <w:sz w:val="24"/>
                <w:szCs w:val="24"/>
                <w:lang w:val="en-US" w:eastAsia="zh-CN"/>
              </w:rPr>
              <w:t>信息安全工程师</w:t>
            </w:r>
            <w:r>
              <w:rPr>
                <w:rFonts w:hint="eastAsia" w:ascii="宋体" w:hAnsi="宋体" w:cs="宋体"/>
                <w:color w:val="auto"/>
                <w:sz w:val="24"/>
                <w:szCs w:val="24"/>
                <w:lang w:val="en-US" w:eastAsia="zh-CN"/>
              </w:rPr>
              <w:t>；③</w:t>
            </w:r>
            <w:r>
              <w:rPr>
                <w:rFonts w:hint="eastAsia" w:ascii="宋体" w:hAnsi="宋体" w:eastAsia="宋体" w:cs="宋体"/>
                <w:color w:val="auto"/>
                <w:sz w:val="24"/>
                <w:szCs w:val="24"/>
                <w:highlight w:val="none"/>
                <w:lang w:val="en-US" w:eastAsia="zh-CN"/>
              </w:rPr>
              <w:t>注册信息安全专业人员（CISP）</w:t>
            </w:r>
            <w:r>
              <w:rPr>
                <w:rFonts w:hint="eastAsia" w:ascii="宋体" w:hAnsi="宋体" w:cs="宋体"/>
                <w:color w:val="auto"/>
                <w:sz w:val="24"/>
                <w:szCs w:val="24"/>
                <w:lang w:val="en-US" w:eastAsia="zh-CN"/>
              </w:rPr>
              <w:t>；④</w:t>
            </w:r>
            <w:r>
              <w:rPr>
                <w:rFonts w:hint="eastAsia" w:ascii="宋体" w:hAnsi="宋体" w:eastAsia="宋体" w:cs="宋体"/>
                <w:color w:val="auto"/>
                <w:sz w:val="24"/>
                <w:szCs w:val="24"/>
                <w:lang w:val="en-US" w:eastAsia="zh-CN"/>
              </w:rPr>
              <w:t>系统集成项目管理工程师</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每一名人员具有其中一本证书的，得0.5分，本项满分为2分（具有对应证书的专业人员）。须提供该服务人员的相关证书复印件及投标截止时间前（不含投标截止时间当月）六个月内任意一个月投标人为拟投入人员缴纳的社保证明材料</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未提供的不得分。注：此评分项与其它评分项中提供的人员不得重复得分。</w:t>
            </w:r>
          </w:p>
        </w:tc>
      </w:tr>
      <w:tr w14:paraId="124C58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6" w:type="dxa"/>
          </w:tcPr>
          <w:p w14:paraId="2727C2EB">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lang w:eastAsia="zh-CN"/>
              </w:rPr>
              <w:t>、项目业绩</w:t>
            </w:r>
          </w:p>
        </w:tc>
        <w:tc>
          <w:tcPr>
            <w:tcW w:w="810" w:type="dxa"/>
          </w:tcPr>
          <w:p w14:paraId="54D2D4A5">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.00</w:t>
            </w:r>
          </w:p>
        </w:tc>
        <w:tc>
          <w:tcPr>
            <w:tcW w:w="1475" w:type="dxa"/>
          </w:tcPr>
          <w:p w14:paraId="13C069EE">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是</w:t>
            </w:r>
          </w:p>
        </w:tc>
        <w:tc>
          <w:tcPr>
            <w:tcW w:w="5096" w:type="dxa"/>
          </w:tcPr>
          <w:p w14:paraId="56A5A449">
            <w:pPr>
              <w:pStyle w:val="11"/>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根据投标人提供自202</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月1日（含）至本项目投标截止时间止（以合同验收日期为准），由投标人独立承接已完成的同类业绩（</w:t>
            </w:r>
            <w:r>
              <w:rPr>
                <w:rFonts w:hint="eastAsia" w:ascii="宋体" w:hAnsi="宋体" w:eastAsia="宋体" w:cs="宋体"/>
                <w:color w:val="auto"/>
                <w:sz w:val="24"/>
                <w:szCs w:val="24"/>
                <w:lang w:val="en-US" w:eastAsia="zh-CN"/>
              </w:rPr>
              <w:t>信息化项目</w:t>
            </w:r>
            <w:r>
              <w:rPr>
                <w:rFonts w:hint="eastAsia" w:ascii="宋体" w:hAnsi="宋体" w:eastAsia="宋体" w:cs="宋体"/>
                <w:color w:val="auto"/>
                <w:sz w:val="24"/>
                <w:szCs w:val="24"/>
                <w:lang w:eastAsia="zh-CN"/>
              </w:rPr>
              <w:t>）进行评分：</w:t>
            </w:r>
            <w:r>
              <w:rPr>
                <w:rFonts w:hint="eastAsia" w:ascii="宋体" w:hAnsi="宋体" w:eastAsia="宋体" w:cs="宋体"/>
                <w:color w:val="auto"/>
                <w:sz w:val="24"/>
                <w:szCs w:val="24"/>
                <w:lang w:val="en-US" w:eastAsia="zh-CN"/>
              </w:rPr>
              <w:t>每</w:t>
            </w:r>
            <w:r>
              <w:rPr>
                <w:rFonts w:hint="eastAsia" w:ascii="宋体" w:hAnsi="宋体" w:eastAsia="宋体" w:cs="宋体"/>
                <w:color w:val="auto"/>
                <w:sz w:val="24"/>
                <w:szCs w:val="24"/>
                <w:lang w:eastAsia="zh-CN"/>
              </w:rPr>
              <w:t>提供一份</w:t>
            </w:r>
            <w:r>
              <w:rPr>
                <w:rFonts w:hint="eastAsia" w:ascii="宋体" w:hAnsi="宋体" w:eastAsia="宋体" w:cs="宋体"/>
                <w:color w:val="auto"/>
                <w:sz w:val="24"/>
                <w:szCs w:val="24"/>
                <w:lang w:val="en-US" w:eastAsia="zh-CN"/>
              </w:rPr>
              <w:t>有效</w:t>
            </w:r>
            <w:r>
              <w:rPr>
                <w:rFonts w:hint="eastAsia" w:ascii="宋体" w:hAnsi="宋体" w:eastAsia="宋体" w:cs="宋体"/>
                <w:color w:val="auto"/>
                <w:sz w:val="24"/>
                <w:szCs w:val="24"/>
                <w:lang w:eastAsia="zh-CN"/>
              </w:rPr>
              <w:t>业绩得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分，满分</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分；注：须提供该业绩项目的中标公告(提供相关网站中标公告的下载网页并注明网址)、中标通知书复印件、采购合同复印件，以及能够证明该业绩项目已经获得采购人整体验收/考核合格的相关证明文件复印件，所有材料缺一不可，否则不得分。</w:t>
            </w:r>
          </w:p>
        </w:tc>
      </w:tr>
    </w:tbl>
    <w:p w14:paraId="55E6212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异常低价审查</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76"/>
        <w:gridCol w:w="7530"/>
      </w:tblGrid>
      <w:tr w14:paraId="48BCA6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6" w:type="dxa"/>
          </w:tcPr>
          <w:p w14:paraId="129618D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项目</w:t>
            </w:r>
          </w:p>
        </w:tc>
        <w:tc>
          <w:tcPr>
            <w:tcW w:w="7530" w:type="dxa"/>
          </w:tcPr>
          <w:p w14:paraId="4AFC601F">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描述</w:t>
            </w:r>
          </w:p>
        </w:tc>
      </w:tr>
      <w:tr w14:paraId="11312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76" w:type="dxa"/>
          </w:tcPr>
          <w:p w14:paraId="0E37986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异常低价审查</w:t>
            </w:r>
          </w:p>
        </w:tc>
        <w:tc>
          <w:tcPr>
            <w:tcW w:w="7530" w:type="dxa"/>
          </w:tcPr>
          <w:p w14:paraId="0A13D92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根据《关于推动解决政府采购异常低价问题的通知》（财库〔2026〕2号）等相关规定，政府采购评审中出现下列情形之一的，评审委员会应当启动异常低价投标（响应）审查程序： （1）建设有限空间“一险一码”平台响应报价低于全部通过符合性审查供应商响应报价平均值50%的，即建设有限空间“一险一码”平台响应报价&lt;全部通过符合性审查供应商响应报价平均值×50%。 （2）建设有限空间“一险一码”平台响应报价低于通过符合性审查且报价次低供应商响应报价50%的，即建设有限空间“一险一码”平台响应报价&lt;通过符合性审查且报价次低供应商响应报价×50%。 （3）建设有限空间“一险一码”平台响应报价低于最高限价45%的，即建设有限空间“一险一码”平台响应报价&lt;最高限价×45%。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003F3D6F">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F83530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8D925C5">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C9DBE33">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异常低价投标（响应）审查的启动原因、审查意见和审查结果应当在评审报告中记录，并随供应商提供的相关书面说明及证明材料，以及评审委员会有关互联网浏览、查询历史一并归档。</w:t>
      </w:r>
    </w:p>
    <w:p w14:paraId="707F1A2C">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※除本章第6.3条第（3）款规定情形和落实政府采购政策需进行的价格扣除情形外，不能对投标人的投标报价进行任何调整。</w:t>
      </w:r>
    </w:p>
    <w:p w14:paraId="3029E887">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（3）中标候选人排列规则顺序如下：</w:t>
      </w:r>
    </w:p>
    <w:p w14:paraId="2DE0DEC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a.按照评标总得分（FA）由高到低顺序排列。</w:t>
      </w:r>
    </w:p>
    <w:p w14:paraId="3C054A42">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b.评标总得分（FA）相同的，按照评标价（即价格扣除后的投标报价）由低到高顺序排列。</w:t>
      </w:r>
    </w:p>
    <w:p w14:paraId="377A349D">
      <w:pPr>
        <w:pStyle w:val="11"/>
        <w:jc w:val="both"/>
        <w:rPr>
          <w:rFonts w:hint="eastAsia" w:ascii="宋体" w:hAnsi="宋体" w:eastAsia="宋体" w:cs="宋体"/>
          <w:color w:val="auto"/>
          <w:sz w:val="24"/>
          <w:szCs w:val="24"/>
        </w:rPr>
      </w:pPr>
      <w:r>
        <w:rPr>
          <w:rFonts w:hint="eastAsia" w:ascii="宋体" w:hAnsi="宋体" w:eastAsia="宋体" w:cs="宋体"/>
          <w:color w:val="auto"/>
          <w:sz w:val="24"/>
          <w:szCs w:val="24"/>
        </w:rPr>
        <w:t>c.评标总得分（FA）且评标价（即价格扣除后的投标报价）相同的并列。</w:t>
      </w:r>
    </w:p>
    <w:p w14:paraId="22B11366">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8、其他规定</w:t>
      </w:r>
    </w:p>
    <w:p w14:paraId="1BA22C3B">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8.1评标应全程保密且不得透露给任一投标人或与评标工作无关的人员。</w:t>
      </w:r>
    </w:p>
    <w:p w14:paraId="099BE3D3">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8.2评标将进行全程实时录音录像，录音录像资料随采购文件一并存档。</w:t>
      </w:r>
    </w:p>
    <w:p w14:paraId="582DC8DC">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49EAB4B5">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8.4其他：</w:t>
      </w:r>
    </w:p>
    <w:p w14:paraId="46C27B9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无</w:t>
      </w:r>
    </w:p>
    <w:p w14:paraId="5EE1C96F">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3C645DB5">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第五章 招标内容及要求</w:t>
      </w:r>
    </w:p>
    <w:p w14:paraId="1D9E0903">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一、项目概况（采购标的）</w:t>
      </w:r>
    </w:p>
    <w:p w14:paraId="3FB36DA6">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本项目主要是通过购买服务的方式，聚焦有限空间点位“纳管辨识-赋码-管控-作业”全生命周期闭环管理，通过开发作业审批流程，生成专属二维码，构建全省统一的“一险一码”数字化监管体系，实现对全省10万个有限空间的统一纳管，解决有限空间数量多、作业流程不规范等问题。项目</w:t>
      </w:r>
      <w:r>
        <w:rPr>
          <w:rFonts w:hint="eastAsia" w:ascii="宋体" w:hAnsi="宋体" w:eastAsia="宋体" w:cs="宋体"/>
          <w:b w:val="0"/>
          <w:bCs/>
          <w:color w:val="auto"/>
          <w:sz w:val="24"/>
          <w:szCs w:val="24"/>
          <w:lang w:val="en-US" w:eastAsia="zh-CN"/>
        </w:rPr>
        <w:t>中标人</w:t>
      </w:r>
      <w:r>
        <w:rPr>
          <w:rFonts w:hint="eastAsia" w:ascii="宋体" w:hAnsi="宋体" w:eastAsia="宋体" w:cs="宋体"/>
          <w:b w:val="0"/>
          <w:bCs/>
          <w:color w:val="auto"/>
          <w:sz w:val="24"/>
          <w:szCs w:val="24"/>
          <w:lang w:val="en-US"/>
        </w:rPr>
        <w:t>应提供信息系统、部署信息系统所需的服务器、算力资源，系统须满足等保三级要求（由中标</w:t>
      </w:r>
      <w:r>
        <w:rPr>
          <w:rFonts w:hint="eastAsia" w:ascii="宋体" w:hAnsi="宋体" w:cs="宋体"/>
          <w:b w:val="0"/>
          <w:bCs/>
          <w:color w:val="auto"/>
          <w:sz w:val="24"/>
          <w:szCs w:val="24"/>
          <w:lang w:val="en-US" w:eastAsia="zh-CN"/>
        </w:rPr>
        <w:t>人</w:t>
      </w:r>
      <w:r>
        <w:rPr>
          <w:rFonts w:hint="eastAsia" w:ascii="宋体" w:hAnsi="宋体" w:eastAsia="宋体" w:cs="宋体"/>
          <w:b w:val="0"/>
          <w:bCs/>
          <w:color w:val="auto"/>
          <w:sz w:val="24"/>
          <w:szCs w:val="24"/>
          <w:lang w:val="en-US"/>
        </w:rPr>
        <w:t>承担）。本项目按购买服务方式实施：系统平台及配套标签/芯片等物资由服务方投入运营，产权归</w:t>
      </w:r>
      <w:r>
        <w:rPr>
          <w:rFonts w:hint="eastAsia" w:ascii="宋体" w:hAnsi="宋体" w:eastAsia="宋体" w:cs="宋体"/>
          <w:b w:val="0"/>
          <w:bCs/>
          <w:color w:val="auto"/>
          <w:sz w:val="24"/>
          <w:szCs w:val="24"/>
          <w:lang w:val="en-US" w:eastAsia="zh-CN"/>
        </w:rPr>
        <w:t>中标人</w:t>
      </w:r>
      <w:r>
        <w:rPr>
          <w:rFonts w:hint="eastAsia" w:ascii="宋体" w:hAnsi="宋体" w:eastAsia="宋体" w:cs="宋体"/>
          <w:b w:val="0"/>
          <w:bCs/>
          <w:color w:val="auto"/>
          <w:sz w:val="24"/>
          <w:szCs w:val="24"/>
          <w:lang w:val="en-US"/>
        </w:rPr>
        <w:t>所有，采购人不取得相关物资产权；项目数据、业务记录及本项目定制形成的成果按合同约定交付或授权采购人使用，采购人依合同享有服务期及约定退出期内的使用、复制、备份、导出和迁移权，服务期满按合同约定交接或处置。</w:t>
      </w:r>
      <w:r>
        <w:rPr>
          <w:rFonts w:hint="eastAsia" w:ascii="宋体" w:hAnsi="宋体" w:eastAsia="宋体" w:cs="宋体"/>
          <w:b w:val="0"/>
          <w:bCs/>
          <w:color w:val="auto"/>
          <w:sz w:val="24"/>
          <w:szCs w:val="24"/>
          <w:lang w:val="en-US"/>
        </w:rPr>
        <w:fldChar w:fldCharType="begin"/>
      </w:r>
      <w:r>
        <w:rPr>
          <w:rFonts w:hint="eastAsia" w:ascii="宋体" w:hAnsi="宋体" w:eastAsia="宋体" w:cs="宋体"/>
          <w:b w:val="0"/>
          <w:bCs/>
          <w:color w:val="auto"/>
          <w:sz w:val="24"/>
          <w:szCs w:val="24"/>
          <w:lang w:val="en-US"/>
        </w:rPr>
        <w:instrText xml:space="preserve"> HYPERLINK "https://www.gongchengzhaobiao.cn/news-1068423fe6e7ae88bc393e6ffb3e4934/" \t "https://chat.deepseek.com/a/chat/s/_blank" </w:instrText>
      </w:r>
      <w:r>
        <w:rPr>
          <w:rFonts w:hint="eastAsia" w:ascii="宋体" w:hAnsi="宋体" w:eastAsia="宋体" w:cs="宋体"/>
          <w:b w:val="0"/>
          <w:bCs/>
          <w:color w:val="auto"/>
          <w:sz w:val="24"/>
          <w:szCs w:val="24"/>
          <w:lang w:val="en-US"/>
        </w:rPr>
        <w:fldChar w:fldCharType="separate"/>
      </w:r>
      <w:r>
        <w:rPr>
          <w:rFonts w:hint="eastAsia" w:ascii="宋体" w:hAnsi="宋体" w:eastAsia="宋体" w:cs="宋体"/>
          <w:b w:val="0"/>
          <w:bCs/>
          <w:color w:val="auto"/>
          <w:sz w:val="24"/>
          <w:szCs w:val="24"/>
          <w:lang w:val="en-US"/>
        </w:rPr>
        <w:fldChar w:fldCharType="end"/>
      </w:r>
      <w:r>
        <w:rPr>
          <w:rFonts w:hint="eastAsia" w:ascii="宋体" w:hAnsi="宋体" w:eastAsia="宋体" w:cs="宋体"/>
          <w:b w:val="0"/>
          <w:bCs/>
          <w:color w:val="auto"/>
          <w:sz w:val="24"/>
          <w:szCs w:val="24"/>
          <w:lang w:val="en-US"/>
        </w:rPr>
        <w:t>根据2026年福建省社会应急和防灾避险能力提升工程为民办实事项目的整体部署，本项目服务覆盖全省有限空间点位管理需求，构建省、市、县、乡镇四级一体化监管服务体系，配套专属云资源、算力支撑、智能模型及全场景业务功能。</w:t>
      </w:r>
    </w:p>
    <w:p w14:paraId="7A7D7D83">
      <w:pPr>
        <w:pStyle w:val="11"/>
        <w:ind w:firstLine="480" w:firstLineChars="200"/>
        <w:jc w:val="both"/>
        <w:outlineLvl w:val="2"/>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“一险一码”平台</w:t>
      </w:r>
      <w:r>
        <w:rPr>
          <w:rFonts w:hint="eastAsia" w:ascii="宋体" w:hAnsi="宋体" w:eastAsia="宋体" w:cs="宋体"/>
          <w:b w:val="0"/>
          <w:bCs/>
          <w:color w:val="auto"/>
          <w:sz w:val="24"/>
          <w:szCs w:val="24"/>
          <w:lang w:val="en-US" w:eastAsia="zh-CN"/>
        </w:rPr>
        <w:t>属于</w:t>
      </w:r>
      <w:r>
        <w:rPr>
          <w:rFonts w:hint="eastAsia" w:ascii="宋体" w:hAnsi="宋体" w:eastAsia="宋体" w:cs="宋体"/>
          <w:b w:val="0"/>
          <w:bCs/>
          <w:color w:val="auto"/>
          <w:sz w:val="24"/>
          <w:szCs w:val="24"/>
          <w:lang w:val="en-US"/>
        </w:rPr>
        <w:t>为民办实事项目</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rPr>
        <w:t>对全省10万余个有限空间统一纳管，开发作业审批流程，生成专属二维码，集成动态安全信息、日常巡检记录、隐患排查治理追踪等功能，解决有限空间数量多、作业流程不规范等问题。中标人须于合同签订后30个日历日内完成平台开发部署、数据纳管及上线运行，交付采购人使用。</w:t>
      </w:r>
    </w:p>
    <w:p w14:paraId="12AD519E">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二、技术和服务要求（以“★”标示的内容为不允许负偏离的实质性要求）</w:t>
      </w:r>
    </w:p>
    <w:p w14:paraId="27E3B47D">
      <w:pPr>
        <w:pStyle w:val="11"/>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rPr>
        <w:t>（一）有限空间纳管建档服务</w:t>
      </w:r>
    </w:p>
    <w:p w14:paraId="7CB0530C">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w:t>
      </w:r>
      <w:r>
        <w:rPr>
          <w:rFonts w:hint="eastAsia" w:ascii="宋体" w:hAnsi="宋体" w:eastAsia="宋体" w:cs="宋体"/>
          <w:b/>
          <w:bCs w:val="0"/>
          <w:color w:val="auto"/>
          <w:sz w:val="24"/>
          <w:szCs w:val="24"/>
          <w:lang w:val="en-US"/>
        </w:rPr>
        <w:t>1）</w:t>
      </w:r>
      <w:r>
        <w:rPr>
          <w:rFonts w:hint="eastAsia" w:ascii="宋体" w:hAnsi="宋体" w:eastAsia="宋体" w:cs="宋体"/>
          <w:b w:val="0"/>
          <w:bCs/>
          <w:color w:val="auto"/>
          <w:sz w:val="24"/>
          <w:szCs w:val="24"/>
          <w:lang w:val="en-US"/>
        </w:rPr>
        <w:t>本系统是整个平台的基础前置环节，负责全省有限空间点位的标准化采集、核验，台账管理与档案动态更新，建立全省统一、真实准确、动态可溯的点位电子档案，为后续风险辨识、赋码管控、作业审批、隐患排查、定期检查提供合规的基础数据支撑，所有功能均提供</w:t>
      </w:r>
      <w:r>
        <w:rPr>
          <w:rFonts w:hint="eastAsia" w:ascii="宋体" w:hAnsi="宋体" w:eastAsia="宋体" w:cs="宋体"/>
          <w:b w:val="0"/>
          <w:bCs/>
          <w:color w:val="auto"/>
          <w:sz w:val="24"/>
          <w:szCs w:val="24"/>
          <w:lang w:val="en-US" w:eastAsia="zh-CN"/>
        </w:rPr>
        <w:t>Web</w:t>
      </w:r>
      <w:r>
        <w:rPr>
          <w:rFonts w:hint="eastAsia" w:ascii="宋体" w:hAnsi="宋体" w:eastAsia="宋体" w:cs="宋体"/>
          <w:b w:val="0"/>
          <w:bCs/>
          <w:color w:val="auto"/>
          <w:sz w:val="24"/>
          <w:szCs w:val="24"/>
          <w:lang w:val="en-US"/>
        </w:rPr>
        <w:t>可视化操作界面落地支撑</w:t>
      </w:r>
      <w:r>
        <w:rPr>
          <w:rFonts w:hint="eastAsia" w:ascii="宋体" w:hAnsi="宋体" w:eastAsia="宋体" w:cs="宋体"/>
          <w:b w:val="0"/>
          <w:bCs/>
          <w:color w:val="auto"/>
          <w:sz w:val="24"/>
          <w:szCs w:val="24"/>
          <w:lang w:val="en-US" w:eastAsia="zh-CN"/>
        </w:rPr>
        <w:t>。</w:t>
      </w:r>
    </w:p>
    <w:p w14:paraId="459BB58E">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点位信息采集服务</w:t>
      </w:r>
    </w:p>
    <w:p w14:paraId="260D34E6">
      <w:pPr>
        <w:pStyle w:val="11"/>
        <w:ind w:firstLine="482" w:firstLineChars="200"/>
        <w:jc w:val="both"/>
        <w:outlineLvl w:val="2"/>
        <w:rPr>
          <w:rFonts w:hint="eastAsia" w:ascii="宋体" w:hAnsi="宋体" w:eastAsia="宋体" w:cs="宋体"/>
          <w:b/>
          <w:bCs w:val="0"/>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提供手动表单填报、Excel批量导入、现场拍照上传、PDF/图片附件上传四类多渠道采集工具，配套独立填报可视化页面，适配不同企业、不同场景的填报需求，支持企业自主完成点位基础信息填报；填报界面内置多级下拉选择组件，包含行业大类、细分行业、厂区风险区域、空间受限类型、风险等级选项，表单必填项标红强制校验。</w:t>
      </w:r>
    </w:p>
    <w:p w14:paraId="31612F75">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采集字段标准化分类：覆盖基础必填字段（点位名称、区域、行业、地址、地理坐标、权属信息）、物理属性字段（空间类型、受限类型）、风险关联字段、佐证资料字段四大类，适配化工、工贸、市政、建筑、燃气、电力等不同行业的差异化采集需求，全部字段前端可视化展示，支持筛选、填写。</w:t>
      </w:r>
      <w:r>
        <w:rPr>
          <w:rFonts w:hint="eastAsia" w:ascii="宋体" w:hAnsi="宋体" w:eastAsia="宋体" w:cs="宋体"/>
          <w:b/>
          <w:bCs w:val="0"/>
          <w:color w:val="auto"/>
          <w:sz w:val="24"/>
          <w:szCs w:val="24"/>
          <w:lang w:val="en-US" w:eastAsia="zh-CN"/>
        </w:rPr>
        <w:t>（须提供系统功能截图）</w:t>
      </w:r>
    </w:p>
    <w:p w14:paraId="511F3721">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智能化数据校验：系统内置多层级数据校验规则，包括必填项非空校验、格式合规校验、坐标有效性校验、填报异常实时提示修正引导，填报页面异常字段标红高亮，弹窗提示错误原因与修正方案，确保采集信息完整、准确、合规，提升企业一次填报通过率。</w:t>
      </w:r>
    </w:p>
    <w:p w14:paraId="17E2A031">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点位分类分级管理服务</w:t>
      </w:r>
    </w:p>
    <w:p w14:paraId="5097F858">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（1）按行业（化工、建筑、市政等）、区域、风险等级（一般、较大、重大）对点位进行多维度分类分级管理，建立全省统一的点位纳管台账，配套可视化风险管控台账列表页面。</w:t>
      </w:r>
      <w:r>
        <w:rPr>
          <w:rFonts w:hint="eastAsia" w:ascii="宋体" w:hAnsi="宋体" w:eastAsia="宋体" w:cs="宋体"/>
          <w:b/>
          <w:bCs w:val="0"/>
          <w:color w:val="auto"/>
          <w:sz w:val="24"/>
          <w:szCs w:val="24"/>
          <w:lang w:val="en-US" w:eastAsia="zh-CN"/>
        </w:rPr>
        <w:t>（须提供系统功能截图）</w:t>
      </w:r>
    </w:p>
    <w:p w14:paraId="0B811DEF">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号6</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标准化分类规则：行业分类严格遵循应急管理部有限空间行业分类标准，区域分级适配福建省行政层级管理体系，风险分级严格对标国家安全生产风险分级管控规范，前端台账页面可通过筛选框自由切换分类维度。</w:t>
      </w:r>
    </w:p>
    <w:p w14:paraId="53570ED6">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号7</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精细化台账管理：台账页面展示字段包含风险名称、管控等级、所在区域、责任部门、操作按钮；支持多维度组合筛选、模糊查询点位名称、精准定位点位、批量导出 Excel 台账，满足政府监管与企业内部管理的查询、归档需求。</w:t>
      </w:r>
      <w:r>
        <w:rPr>
          <w:rFonts w:hint="eastAsia" w:ascii="宋体" w:hAnsi="宋体" w:eastAsia="宋体" w:cs="宋体"/>
          <w:b/>
          <w:bCs w:val="0"/>
          <w:color w:val="auto"/>
          <w:sz w:val="24"/>
          <w:szCs w:val="24"/>
          <w:lang w:val="en-US" w:eastAsia="zh-CN"/>
        </w:rPr>
        <w:t>（须提供系统功能截图）</w:t>
      </w:r>
    </w:p>
    <w:p w14:paraId="54947B31">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8</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（4）①</w:t>
      </w:r>
      <w:r>
        <w:rPr>
          <w:rFonts w:hint="eastAsia" w:ascii="宋体" w:hAnsi="宋体" w:eastAsia="宋体" w:cs="宋体"/>
          <w:b w:val="0"/>
          <w:bCs/>
          <w:color w:val="auto"/>
          <w:sz w:val="24"/>
          <w:szCs w:val="24"/>
          <w:lang w:val="en-US"/>
        </w:rPr>
        <w:t>分级权限管控：配套后台租户管理、岗位角色管理、菜单权限管理可视化界面</w:t>
      </w:r>
      <w:r>
        <w:rPr>
          <w:rFonts w:hint="eastAsia" w:ascii="宋体" w:hAnsi="宋体" w:eastAsia="宋体" w:cs="宋体"/>
          <w:b w:val="0"/>
          <w:bCs/>
          <w:color w:val="auto"/>
          <w:sz w:val="24"/>
          <w:szCs w:val="24"/>
          <w:lang w:val="en-US" w:eastAsia="zh-CN"/>
        </w:rPr>
        <w:t>。②</w:t>
      </w:r>
      <w:r>
        <w:rPr>
          <w:rFonts w:hint="eastAsia" w:ascii="宋体" w:hAnsi="宋体" w:eastAsia="宋体" w:cs="宋体"/>
          <w:b w:val="0"/>
          <w:bCs/>
          <w:color w:val="auto"/>
          <w:sz w:val="24"/>
          <w:szCs w:val="24"/>
          <w:lang w:val="en-US"/>
        </w:rPr>
        <w:t>按行政区域与权属关系实现数据分级可见：企业账号仅可查看、编辑自有点位台账；属地监管账号可查看辖区内全量点位；省级部门可统筹全域台账数据，可自定义岗位功能操作权限，实现权责清晰隔离。</w:t>
      </w:r>
      <w:r>
        <w:rPr>
          <w:rFonts w:hint="eastAsia" w:ascii="宋体" w:hAnsi="宋体" w:eastAsia="宋体" w:cs="宋体"/>
          <w:b w:val="0"/>
          <w:bCs/>
          <w:color w:val="auto"/>
          <w:sz w:val="24"/>
          <w:szCs w:val="24"/>
          <w:lang w:val="en-US" w:eastAsia="zh-CN"/>
        </w:rPr>
        <w:t>③</w:t>
      </w:r>
      <w:r>
        <w:rPr>
          <w:rFonts w:hint="eastAsia" w:ascii="宋体" w:hAnsi="宋体" w:eastAsia="宋体" w:cs="宋体"/>
          <w:b w:val="0"/>
          <w:bCs/>
          <w:color w:val="auto"/>
          <w:sz w:val="24"/>
          <w:szCs w:val="24"/>
          <w:lang w:val="en-US"/>
        </w:rPr>
        <w:t>底层企业主体统一管理：系统内置企业信息管理模块界面，统一存储企业名称、法人、注册地址、统一社会信用代码、联系人、联系方式等主体信息，所有有限空间点位强制绑定对应企业主体，构建“企业-厂区-有限空间点位”三级树形架构。</w:t>
      </w:r>
      <w:r>
        <w:rPr>
          <w:rFonts w:hint="eastAsia" w:ascii="宋体" w:hAnsi="宋体" w:eastAsia="宋体" w:cs="宋体"/>
          <w:b/>
          <w:bCs w:val="0"/>
          <w:color w:val="auto"/>
          <w:sz w:val="24"/>
          <w:szCs w:val="24"/>
          <w:lang w:val="en-US" w:eastAsia="zh-CN"/>
        </w:rPr>
        <w:t>（须提供①②③系统功能截图）</w:t>
      </w:r>
    </w:p>
    <w:p w14:paraId="3994B623">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点位档案动态更新服务</w:t>
      </w:r>
    </w:p>
    <w:p w14:paraId="38F4FE25">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9</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highlight w:val="none"/>
          <w:lang w:val="en-US" w:eastAsia="zh-CN"/>
        </w:rPr>
        <w:t>采购人</w:t>
      </w:r>
      <w:r>
        <w:rPr>
          <w:rFonts w:hint="eastAsia" w:ascii="宋体" w:hAnsi="宋体" w:eastAsia="宋体" w:cs="宋体"/>
          <w:b w:val="0"/>
          <w:bCs/>
          <w:color w:val="auto"/>
          <w:sz w:val="24"/>
          <w:szCs w:val="24"/>
          <w:lang w:val="en-US"/>
        </w:rPr>
        <w:t>可便捷修改点位信息、物理属性、周边环境、使用状态等变化内容，提交更新申请后经服务商核验、政府抽查通过，系统自动更新点位档案，并同步联动二维码信息、芯片关联信息、检查计划、隐患台账，确保档案与实际情况一致，全部联动逻辑后台自动执行，前端界面实时展示更新结果。</w:t>
      </w:r>
      <w:r>
        <w:rPr>
          <w:rFonts w:hint="eastAsia" w:ascii="宋体" w:hAnsi="宋体" w:eastAsia="宋体" w:cs="宋体"/>
          <w:b/>
          <w:bCs w:val="0"/>
          <w:color w:val="auto"/>
          <w:sz w:val="24"/>
          <w:szCs w:val="24"/>
          <w:lang w:val="en-US" w:eastAsia="zh-CN"/>
        </w:rPr>
        <w:t>（须提供系统功能截图）</w:t>
      </w:r>
    </w:p>
    <w:p w14:paraId="14676D3C">
      <w:pPr>
        <w:pStyle w:val="11"/>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rPr>
        <w:t xml:space="preserve"> </w:t>
      </w: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10</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全生命周期状态管理：覆盖点位“草稿-未激活-激活-删除” 全生命周期状态管控，针对停用、删除点位自动更新管控状态，锁定作业审批发起入口，同步推送消息告知属地监管部门，点位状态在台账页面直观标注区分。</w:t>
      </w:r>
      <w:r>
        <w:rPr>
          <w:rFonts w:hint="eastAsia" w:ascii="宋体" w:hAnsi="宋体" w:eastAsia="宋体" w:cs="宋体"/>
          <w:b/>
          <w:bCs w:val="0"/>
          <w:color w:val="auto"/>
          <w:sz w:val="24"/>
          <w:szCs w:val="24"/>
          <w:lang w:val="en-US" w:eastAsia="zh-CN"/>
        </w:rPr>
        <w:t>（须提供系统功能截图）</w:t>
      </w:r>
    </w:p>
    <w:p w14:paraId="49B6083B">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11</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全链路联动更新：点位档案变更审核通过后，自动触发 4 类核心关联数据同步更新，实现“一处变更、全域同步”：①点位专属加密风险告知二维码；②五防芯片绑定数据；③AI 智能风险辨识报告；④定期检查计划、隐患台账清单。</w:t>
      </w:r>
    </w:p>
    <w:p w14:paraId="7A64F157">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12</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lang w:val="en-US"/>
        </w:rPr>
        <w:t>历史版本追溯：系统自动留存点位档案所有历史变更版本，完整记录变更内容、变更人、变更时间、核验结果，前端点位详情页面支持版本对比、操作日志导出，满足监管审计、事故调查溯源需求。</w:t>
      </w:r>
    </w:p>
    <w:p w14:paraId="1896FD72">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lang w:val="en-US"/>
        </w:rPr>
        <w:t xml:space="preserve">点位信息核验服务 </w:t>
      </w:r>
    </w:p>
    <w:p w14:paraId="6F466C09">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13</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（1）中标人</w:t>
      </w:r>
      <w:r>
        <w:rPr>
          <w:rFonts w:hint="eastAsia" w:ascii="宋体" w:hAnsi="宋体" w:cs="宋体"/>
          <w:b w:val="0"/>
          <w:bCs/>
          <w:color w:val="auto"/>
          <w:sz w:val="24"/>
          <w:szCs w:val="24"/>
          <w:lang w:val="en-US" w:eastAsia="zh-CN"/>
        </w:rPr>
        <w:t>通</w:t>
      </w:r>
      <w:r>
        <w:rPr>
          <w:rFonts w:hint="eastAsia" w:ascii="宋体" w:hAnsi="宋体" w:eastAsia="宋体" w:cs="宋体"/>
          <w:b w:val="0"/>
          <w:bCs/>
          <w:color w:val="auto"/>
          <w:sz w:val="24"/>
          <w:szCs w:val="24"/>
          <w:lang w:val="en-US"/>
        </w:rPr>
        <w:t>过系统接收企业填报的点位信息，开展线上初审 +现场实地核验，核对信息真实性与完整性，上传核验资料与意见，形成 “企业填报-服务商核验-政府抽查”的三级建档机制，核验流程全链路可视化操作。</w:t>
      </w:r>
    </w:p>
    <w:p w14:paraId="448C54E1">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14</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标准化双环节核验：</w:t>
      </w:r>
      <w:r>
        <w:rPr>
          <w:rFonts w:hint="eastAsia" w:ascii="宋体" w:hAnsi="宋体" w:eastAsia="宋体" w:cs="宋体"/>
          <w:b w:val="0"/>
          <w:bCs/>
          <w:color w:val="auto"/>
          <w:sz w:val="24"/>
          <w:szCs w:val="24"/>
          <w:lang w:val="en-US" w:eastAsia="zh-CN"/>
        </w:rPr>
        <w:t>中标人</w:t>
      </w:r>
      <w:r>
        <w:rPr>
          <w:rFonts w:hint="eastAsia" w:ascii="宋体" w:hAnsi="宋体" w:eastAsia="宋体" w:cs="宋体"/>
          <w:b w:val="0"/>
          <w:bCs/>
          <w:color w:val="auto"/>
          <w:sz w:val="24"/>
          <w:szCs w:val="24"/>
          <w:lang w:val="en-US"/>
        </w:rPr>
        <w:t>先开展线上资料完整性初审，系统自动校验必填附件、字段完整性；再安排专业人员赴现场实地核验，核对填报信息与现场实际一致性，在核验页面上传带GPS定位、时间水印的核验照片、现场视频，签署核验意见（通过/驳回/需补正），驳回场景必须标注具体整改要求。</w:t>
      </w:r>
      <w:r>
        <w:rPr>
          <w:rFonts w:hint="eastAsia" w:ascii="宋体" w:hAnsi="宋体" w:eastAsia="宋体" w:cs="宋体"/>
          <w:b/>
          <w:bCs w:val="0"/>
          <w:color w:val="auto"/>
          <w:sz w:val="24"/>
          <w:szCs w:val="24"/>
          <w:lang w:val="en-US" w:eastAsia="zh-CN"/>
        </w:rPr>
        <w:t>（须提供系统功能截图）</w:t>
      </w:r>
    </w:p>
    <w:p w14:paraId="0E41C2C6">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15</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核验闭环管理：核验不合格点位自动退回企业填报页面，明确补正条目、整改时限，企业整改完成后可重新提交核验；未通过核验的点位，系统锁定 AI 风险预测、有限空间专项评估、作业审批全部功能入口，无法开展后续管控操作，形成完整的建档核验闭环。</w:t>
      </w:r>
      <w:r>
        <w:rPr>
          <w:rFonts w:hint="eastAsia" w:ascii="宋体" w:hAnsi="宋体" w:eastAsia="宋体" w:cs="宋体"/>
          <w:b/>
          <w:bCs w:val="0"/>
          <w:color w:val="auto"/>
          <w:sz w:val="24"/>
          <w:szCs w:val="24"/>
          <w:lang w:val="en-US" w:eastAsia="zh-CN"/>
        </w:rPr>
        <w:t>（须提供系统功能截图）</w:t>
      </w:r>
    </w:p>
    <w:p w14:paraId="0F9D0200">
      <w:pPr>
        <w:pStyle w:val="11"/>
        <w:ind w:firstLine="480" w:firstLineChars="200"/>
        <w:jc w:val="both"/>
        <w:outlineLvl w:val="2"/>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lang w:val="en-US"/>
        </w:rPr>
        <w:t xml:space="preserve">拓展纳管支持服务 </w:t>
      </w:r>
      <w:r>
        <w:rPr>
          <w:rFonts w:hint="eastAsia" w:ascii="宋体" w:hAnsi="宋体" w:eastAsia="宋体" w:cs="宋体"/>
          <w:b w:val="0"/>
          <w:bCs/>
          <w:color w:val="auto"/>
          <w:sz w:val="24"/>
          <w:szCs w:val="24"/>
          <w:lang w:val="en-US" w:eastAsia="zh-CN"/>
        </w:rPr>
        <w:t xml:space="preserve">  </w:t>
      </w:r>
    </w:p>
    <w:p w14:paraId="29176F7B">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16</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rPr>
        <w:t>预留拓展接口，支持新增风险点位的快速建档，适配不同行业、不同类型有限空间点位的信息采集需求，无需修改核心系统架构。 灵活配置能力：预留行业扩展字段配置接口、新增点位类型适配接口，支持后续新增行业、新增风险类型点位的采集规则快速调整。 批量纳管支撑：可平滑支撑后续新增数万级点位的集中纳管需求，系统界面、业务流程无需重构，保障系统的可扩展性与业务连续性。</w:t>
      </w:r>
    </w:p>
    <w:p w14:paraId="1E414474">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rPr>
        <w:t>（二）人工智能风险辨识赋码服务</w:t>
      </w:r>
    </w:p>
    <w:p w14:paraId="3971028D">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w:t>
      </w:r>
      <w:r>
        <w:rPr>
          <w:rFonts w:hint="eastAsia" w:ascii="宋体" w:hAnsi="宋体" w:eastAsia="宋体" w:cs="宋体"/>
          <w:b/>
          <w:bCs w:val="0"/>
          <w:color w:val="auto"/>
          <w:sz w:val="24"/>
          <w:szCs w:val="24"/>
          <w:lang w:val="en-US"/>
        </w:rPr>
        <w:t>1</w:t>
      </w:r>
      <w:r>
        <w:rPr>
          <w:rFonts w:hint="eastAsia" w:ascii="宋体" w:hAnsi="宋体" w:eastAsia="宋体" w:cs="宋体"/>
          <w:b/>
          <w:bCs w:val="0"/>
          <w:color w:val="auto"/>
          <w:sz w:val="24"/>
          <w:szCs w:val="24"/>
          <w:lang w:val="en-US" w:eastAsia="zh-CN"/>
        </w:rPr>
        <w:t>7</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rPr>
        <w:t>本系统提供风险辨识辅助、赋码、风险管控配置、风险告知牌编辑、人工审核、法规标准知识库和辅助问答等功能，为每个点位生成可追溯的专属二维码。系统应通过权限、日志和版本管理实现“一码关联相关业务信息、人工确认关键结果”的闭环管理。</w:t>
      </w:r>
    </w:p>
    <w:p w14:paraId="50EC8BAB">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 xml:space="preserve">AI 智能风险辨识服务 </w:t>
      </w:r>
    </w:p>
    <w:p w14:paraId="3F55DA4E">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w:t>
      </w:r>
      <w:r>
        <w:rPr>
          <w:rFonts w:hint="eastAsia" w:ascii="宋体" w:hAnsi="宋体" w:eastAsia="宋体" w:cs="宋体"/>
          <w:b/>
          <w:bCs w:val="0"/>
          <w:color w:val="auto"/>
          <w:sz w:val="24"/>
          <w:szCs w:val="24"/>
          <w:lang w:val="en-US"/>
        </w:rPr>
        <w:t>1</w:t>
      </w:r>
      <w:r>
        <w:rPr>
          <w:rFonts w:hint="eastAsia" w:ascii="宋体" w:hAnsi="宋体" w:eastAsia="宋体" w:cs="宋体"/>
          <w:b/>
          <w:bCs w:val="0"/>
          <w:color w:val="auto"/>
          <w:sz w:val="24"/>
          <w:szCs w:val="24"/>
          <w:lang w:val="en-US" w:eastAsia="zh-CN"/>
        </w:rPr>
        <w:t>8</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（1）①</w:t>
      </w:r>
      <w:r>
        <w:rPr>
          <w:rFonts w:hint="eastAsia" w:ascii="宋体" w:hAnsi="宋体" w:eastAsia="宋体" w:cs="宋体"/>
          <w:b w:val="0"/>
          <w:bCs/>
          <w:color w:val="auto"/>
          <w:sz w:val="24"/>
          <w:szCs w:val="24"/>
          <w:lang w:val="en-US"/>
        </w:rPr>
        <w:t>AI 风险预测：选择所属行业、</w:t>
      </w:r>
      <w:r>
        <w:rPr>
          <w:rFonts w:hint="eastAsia" w:ascii="宋体" w:hAnsi="宋体" w:eastAsia="宋体" w:cs="宋体"/>
          <w:b w:val="0"/>
          <w:bCs/>
          <w:color w:val="auto"/>
          <w:sz w:val="24"/>
          <w:szCs w:val="24"/>
          <w:lang w:val="en-US" w:eastAsia="zh-CN"/>
        </w:rPr>
        <w:t>主要产品、工艺信息</w:t>
      </w:r>
      <w:r>
        <w:rPr>
          <w:rFonts w:hint="eastAsia" w:ascii="宋体" w:hAnsi="宋体" w:eastAsia="宋体" w:cs="宋体"/>
          <w:b w:val="0"/>
          <w:bCs/>
          <w:color w:val="auto"/>
          <w:sz w:val="24"/>
          <w:szCs w:val="24"/>
          <w:lang w:val="en-US"/>
        </w:rPr>
        <w:t>，</w:t>
      </w:r>
      <w:r>
        <w:rPr>
          <w:rFonts w:hint="eastAsia" w:ascii="宋体" w:hAnsi="宋体" w:eastAsia="宋体" w:cs="宋体"/>
          <w:b w:val="0"/>
          <w:bCs/>
          <w:color w:val="auto"/>
          <w:sz w:val="24"/>
          <w:szCs w:val="24"/>
          <w:lang w:val="en-US" w:eastAsia="zh-CN"/>
        </w:rPr>
        <w:t>系统</w:t>
      </w:r>
      <w:r>
        <w:rPr>
          <w:rFonts w:hint="eastAsia" w:ascii="宋体" w:hAnsi="宋体" w:eastAsia="宋体" w:cs="宋体"/>
          <w:b w:val="0"/>
          <w:bCs/>
          <w:color w:val="auto"/>
          <w:sz w:val="24"/>
          <w:szCs w:val="24"/>
          <w:lang w:val="en-US"/>
        </w:rPr>
        <w:t>基于福建省本地化事故案例风险数据库自动输出标准化风险清单，自动识别有限空间中毒窒息、粉尘爆炸、淹溺、坍塌、触电等全部常见风险；</w:t>
      </w:r>
      <w:r>
        <w:rPr>
          <w:rFonts w:hint="eastAsia" w:ascii="宋体" w:hAnsi="宋体" w:eastAsia="宋体" w:cs="宋体"/>
          <w:b w:val="0"/>
          <w:bCs/>
          <w:color w:val="auto"/>
          <w:sz w:val="24"/>
          <w:szCs w:val="24"/>
          <w:lang w:val="en-US" w:eastAsia="zh-CN"/>
        </w:rPr>
        <w:t>②</w:t>
      </w:r>
      <w:r>
        <w:rPr>
          <w:rFonts w:hint="eastAsia" w:ascii="宋体" w:hAnsi="宋体" w:eastAsia="宋体" w:cs="宋体"/>
          <w:b w:val="0"/>
          <w:bCs/>
          <w:color w:val="auto"/>
          <w:sz w:val="24"/>
          <w:szCs w:val="24"/>
          <w:lang w:val="en-US"/>
        </w:rPr>
        <w:t>每条风险自动输出标准化信息：风险点描述、危险因素、事故类型、风险等级，支持单条风险纳入管控清单，生成初始风险辨识台账。</w:t>
      </w:r>
      <w:r>
        <w:rPr>
          <w:rFonts w:hint="eastAsia" w:ascii="宋体" w:hAnsi="宋体" w:eastAsia="宋体" w:cs="宋体"/>
          <w:b/>
          <w:bCs w:val="0"/>
          <w:color w:val="auto"/>
          <w:sz w:val="24"/>
          <w:szCs w:val="24"/>
          <w:lang w:val="en-US" w:eastAsia="zh-CN"/>
        </w:rPr>
        <w:t>（</w:t>
      </w:r>
      <w:r>
        <w:rPr>
          <w:rFonts w:hint="eastAsia" w:ascii="宋体" w:hAnsi="宋体" w:cs="宋体"/>
          <w:b w:val="0"/>
          <w:bCs/>
          <w:color w:val="auto"/>
          <w:sz w:val="24"/>
          <w:szCs w:val="24"/>
          <w:lang w:val="en-US" w:eastAsia="zh-CN"/>
        </w:rPr>
        <w:t>①</w:t>
      </w:r>
      <w:r>
        <w:rPr>
          <w:rFonts w:hint="eastAsia" w:ascii="宋体" w:hAnsi="宋体" w:eastAsia="宋体" w:cs="宋体"/>
          <w:bCs/>
          <w:kern w:val="0"/>
          <w:sz w:val="24"/>
          <w:szCs w:val="24"/>
        </w:rPr>
        <w:t>须提供满足功能要求的演示demo或者真实演示系统</w:t>
      </w:r>
      <w:r>
        <w:rPr>
          <w:rFonts w:hint="eastAsia" w:ascii="宋体" w:hAnsi="宋体" w:eastAsia="宋体" w:cs="宋体"/>
          <w:bCs/>
          <w:kern w:val="0"/>
          <w:sz w:val="24"/>
          <w:szCs w:val="24"/>
          <w:lang w:eastAsia="zh-CN"/>
        </w:rPr>
        <w:t>；②</w:t>
      </w:r>
      <w:r>
        <w:rPr>
          <w:rFonts w:hint="eastAsia" w:ascii="宋体" w:hAnsi="宋体" w:eastAsia="宋体" w:cs="宋体"/>
          <w:bCs/>
          <w:sz w:val="24"/>
          <w:szCs w:val="24"/>
        </w:rPr>
        <w:t>演示说明：远程演示的投标人务必密切关注“电子交易-评审等候大厅”实时评审流程，并根据流程在系统内按时操作，评标委员会发起演示邀请后，投标人须在30分钟内响应进行演示，逾期未响应演</w:t>
      </w:r>
      <w:r>
        <w:rPr>
          <w:rFonts w:hint="eastAsia" w:ascii="宋体" w:hAnsi="宋体" w:eastAsia="宋体" w:cs="宋体"/>
          <w:sz w:val="24"/>
          <w:szCs w:val="24"/>
        </w:rPr>
        <w:t>示视同放弃演示。</w:t>
      </w:r>
      <w:r>
        <w:rPr>
          <w:rFonts w:hint="eastAsia" w:ascii="宋体" w:hAnsi="宋体" w:eastAsia="宋体" w:cs="宋体"/>
          <w:sz w:val="24"/>
          <w:szCs w:val="24"/>
          <w:lang w:eastAsia="zh-CN"/>
        </w:rPr>
        <w:t>③</w:t>
      </w:r>
      <w:r>
        <w:rPr>
          <w:rFonts w:hint="eastAsia" w:ascii="宋体" w:hAnsi="宋体" w:eastAsia="宋体" w:cs="宋体"/>
          <w:sz w:val="24"/>
          <w:szCs w:val="24"/>
        </w:rPr>
        <w:t>本项演示时间不超过20分钟</w:t>
      </w:r>
      <w:r>
        <w:rPr>
          <w:rFonts w:hint="eastAsia" w:ascii="宋体" w:hAnsi="宋体" w:eastAsia="宋体" w:cs="宋体"/>
          <w:sz w:val="24"/>
          <w:szCs w:val="24"/>
          <w:lang w:eastAsia="zh-CN"/>
        </w:rPr>
        <w:t>。</w:t>
      </w:r>
      <w:r>
        <w:rPr>
          <w:rFonts w:hint="eastAsia" w:ascii="宋体" w:hAnsi="宋体" w:eastAsia="宋体" w:cs="宋体"/>
          <w:b/>
          <w:bCs w:val="0"/>
          <w:color w:val="auto"/>
          <w:sz w:val="24"/>
          <w:szCs w:val="24"/>
          <w:lang w:val="en-US" w:eastAsia="zh-CN"/>
        </w:rPr>
        <w:t>）</w:t>
      </w:r>
    </w:p>
    <w:p w14:paraId="71AF7FA6">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w:t>
      </w:r>
      <w:r>
        <w:rPr>
          <w:rFonts w:hint="eastAsia" w:ascii="宋体" w:hAnsi="宋体" w:eastAsia="宋体" w:cs="宋体"/>
          <w:b/>
          <w:bCs w:val="0"/>
          <w:color w:val="auto"/>
          <w:sz w:val="24"/>
          <w:szCs w:val="24"/>
          <w:lang w:val="en-US"/>
        </w:rPr>
        <w:t>1</w:t>
      </w:r>
      <w:r>
        <w:rPr>
          <w:rFonts w:hint="eastAsia" w:ascii="宋体" w:hAnsi="宋体" w:eastAsia="宋体" w:cs="宋体"/>
          <w:b/>
          <w:bCs w:val="0"/>
          <w:color w:val="auto"/>
          <w:sz w:val="24"/>
          <w:szCs w:val="24"/>
          <w:lang w:val="en-US" w:eastAsia="zh-CN"/>
        </w:rPr>
        <w:t>9</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手动辨识风险：配套独立【开始录入】操作入口，由专业安全人员手动新增、录入自定义非标风险点，适配特殊工况、小众受限空间场景，弥补 AI 模型未覆盖的个性化风险。</w:t>
      </w:r>
      <w:r>
        <w:rPr>
          <w:rFonts w:hint="eastAsia" w:ascii="宋体" w:hAnsi="宋体" w:eastAsia="宋体" w:cs="宋体"/>
          <w:b/>
          <w:bCs w:val="0"/>
          <w:color w:val="auto"/>
          <w:sz w:val="24"/>
          <w:szCs w:val="24"/>
          <w:lang w:val="en-US" w:eastAsia="zh-CN"/>
        </w:rPr>
        <w:t>（须提供系统功能截图）</w:t>
      </w:r>
    </w:p>
    <w:p w14:paraId="6733549E">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号20</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有限 (受限) 空间专项评估：独立专项评估界面，针对密闭沟渠、污水治理池、地下管网、冶金密闭空间等专项场景定向评估；页面支持按污水、冶金等行业标签筛选专项管控标准，自动调取对应场景气体检测指标、管控措施、应急处置要求，生成专项风险辨识报告。</w:t>
      </w:r>
      <w:r>
        <w:rPr>
          <w:rFonts w:hint="eastAsia" w:ascii="宋体" w:hAnsi="宋体" w:eastAsia="宋体" w:cs="宋体"/>
          <w:b/>
          <w:bCs w:val="0"/>
          <w:color w:val="auto"/>
          <w:sz w:val="24"/>
          <w:szCs w:val="24"/>
          <w:lang w:val="en-US" w:eastAsia="zh-CN"/>
        </w:rPr>
        <w:t>（须提供系统功能截图）</w:t>
      </w:r>
    </w:p>
    <w:p w14:paraId="42699ACF">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号21</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本地化模型适配：基于福建省近年来有限空间事故案例、地方行业监管规范、不同行业风险特征，优化模型行业适配能力，覆盖化工、工贸、市政、建筑、燃气、电力等重点行业的差异化风险辨识需求。</w:t>
      </w:r>
    </w:p>
    <w:p w14:paraId="05E41543">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号22</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lang w:val="en-US"/>
        </w:rPr>
        <w:t>全维度风险覆盖：不仅识别中毒、窒息、爆炸核心风险，同步覆盖淹溺、坍塌、高处坠落、触电等有限空间常见事故风险，实现风险点无死角识别，全部识别结果前端可视化展示。</w:t>
      </w:r>
      <w:r>
        <w:rPr>
          <w:rFonts w:hint="eastAsia" w:ascii="宋体" w:hAnsi="宋体" w:cs="宋体"/>
          <w:b w:val="0"/>
          <w:bCs/>
          <w:color w:val="auto"/>
          <w:sz w:val="24"/>
          <w:szCs w:val="24"/>
          <w:lang w:val="en-US" w:eastAsia="zh-CN"/>
        </w:rPr>
        <w:t>（2）</w:t>
      </w:r>
      <w:r>
        <w:rPr>
          <w:rFonts w:hint="eastAsia" w:ascii="宋体" w:hAnsi="宋体" w:eastAsia="宋体" w:cs="宋体"/>
          <w:b w:val="0"/>
          <w:bCs/>
          <w:color w:val="auto"/>
          <w:sz w:val="24"/>
          <w:szCs w:val="24"/>
          <w:lang w:val="en-US"/>
        </w:rPr>
        <w:t>标准化定级与输出：严格遵循国家与地方安全生产风险分级标准完成三级风险定级，生成的风险辨识报告明确风险点、风险等级、防控措施、应急处置要点、法规依据，可直接用于企业安全管理、监管执法参考，报告支持在线预览、导出打印。</w:t>
      </w:r>
      <w:r>
        <w:rPr>
          <w:rFonts w:hint="eastAsia" w:ascii="宋体" w:hAnsi="宋体" w:eastAsia="宋体" w:cs="宋体"/>
          <w:b/>
          <w:bCs w:val="0"/>
          <w:color w:val="auto"/>
          <w:sz w:val="24"/>
          <w:szCs w:val="24"/>
          <w:lang w:val="en-US" w:eastAsia="zh-CN"/>
        </w:rPr>
        <w:t>（须提供</w:t>
      </w:r>
      <w:r>
        <w:rPr>
          <w:rFonts w:hint="eastAsia" w:ascii="宋体" w:hAnsi="宋体" w:cs="宋体"/>
          <w:b/>
          <w:bCs w:val="0"/>
          <w:color w:val="auto"/>
          <w:sz w:val="24"/>
          <w:szCs w:val="24"/>
          <w:lang w:val="en-US" w:eastAsia="zh-CN"/>
        </w:rPr>
        <w:t>（1）（2）</w:t>
      </w:r>
      <w:r>
        <w:rPr>
          <w:rFonts w:hint="eastAsia" w:ascii="宋体" w:hAnsi="宋体" w:eastAsia="宋体" w:cs="宋体"/>
          <w:b/>
          <w:bCs w:val="0"/>
          <w:color w:val="auto"/>
          <w:sz w:val="24"/>
          <w:szCs w:val="24"/>
          <w:lang w:val="en-US" w:eastAsia="zh-CN"/>
        </w:rPr>
        <w:t>系统功能截图）</w:t>
      </w:r>
    </w:p>
    <w:p w14:paraId="43ADB1CD">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号23</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lang w:val="en-US"/>
        </w:rPr>
        <w:t>人工复核与模型反哺：支持企业、监管人员在辨识结果页面复核、调整AI自动辨识内容，所有修改记录全程留痕；复核调整后的风险样本自动同步纳入AI模型训练样本库，支撑模型持续迭代优化。</w:t>
      </w:r>
    </w:p>
    <w:p w14:paraId="4B86CDAA">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lang w:val="en-US"/>
        </w:rPr>
        <w:t>风险管控要素智能配置服务</w:t>
      </w:r>
    </w:p>
    <w:p w14:paraId="430C4BA6">
      <w:pPr>
        <w:pStyle w:val="11"/>
        <w:ind w:firstLine="480" w:firstLineChars="200"/>
        <w:jc w:val="both"/>
        <w:outlineLvl w:val="2"/>
        <w:rPr>
          <w:rFonts w:hint="eastAsia" w:ascii="宋体" w:hAnsi="宋体" w:eastAsia="宋体" w:cs="宋体"/>
          <w:b/>
          <w:bCs w:val="0"/>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号24</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AI辨识完成后自动跳转风险管控要素配置可视化页面，系统根据识别风险类型预填充全部合规管控参数，支持人工编辑、补充、删除： 检测气体指标自动匹配：页面内置检测气体模块，根据风险自动加载国标限值参数：硫化氢、含氧量、可燃性气体、一氧化碳，数值严格匹配《有限空间作业安全技术规范》（GB 46768-2025）；支持企业新增其他需要检测的气体类型。</w:t>
      </w:r>
      <w:r>
        <w:rPr>
          <w:rFonts w:hint="eastAsia" w:ascii="宋体" w:hAnsi="宋体" w:eastAsia="宋体" w:cs="宋体"/>
          <w:b/>
          <w:bCs w:val="0"/>
          <w:color w:val="auto"/>
          <w:sz w:val="24"/>
          <w:szCs w:val="24"/>
          <w:lang w:val="en-US" w:eastAsia="zh-CN"/>
        </w:rPr>
        <w:t>（</w:t>
      </w:r>
      <w:r>
        <w:rPr>
          <w:rFonts w:hint="eastAsia" w:ascii="宋体" w:hAnsi="宋体" w:eastAsia="宋体" w:cs="宋体"/>
          <w:b w:val="0"/>
          <w:bCs/>
          <w:color w:val="auto"/>
          <w:sz w:val="24"/>
          <w:szCs w:val="24"/>
          <w:lang w:val="en-US" w:eastAsia="zh-CN"/>
        </w:rPr>
        <w:t>①</w:t>
      </w:r>
      <w:r>
        <w:rPr>
          <w:rFonts w:hint="eastAsia" w:ascii="宋体" w:hAnsi="宋体" w:eastAsia="宋体" w:cs="宋体"/>
          <w:bCs/>
          <w:kern w:val="0"/>
          <w:sz w:val="24"/>
          <w:szCs w:val="24"/>
        </w:rPr>
        <w:t>须提供满足功能要求的演示demo或者真实演示系统</w:t>
      </w:r>
      <w:r>
        <w:rPr>
          <w:rFonts w:hint="eastAsia" w:ascii="宋体" w:hAnsi="宋体" w:eastAsia="宋体" w:cs="宋体"/>
          <w:bCs/>
          <w:kern w:val="0"/>
          <w:sz w:val="24"/>
          <w:szCs w:val="24"/>
          <w:lang w:eastAsia="zh-CN"/>
        </w:rPr>
        <w:t>；②</w:t>
      </w:r>
      <w:r>
        <w:rPr>
          <w:rFonts w:hint="eastAsia" w:ascii="宋体" w:hAnsi="宋体" w:eastAsia="宋体" w:cs="宋体"/>
          <w:bCs/>
          <w:sz w:val="24"/>
          <w:szCs w:val="24"/>
        </w:rPr>
        <w:t>演示说明：远程演示的投标人务必密切关注“电子交易-评审等候大厅”实时评审流程，并根据流程在系统内按时操作，评标委员会发起演示邀请后，投标人须在30分钟内响应进行演示，逾期未响应演</w:t>
      </w:r>
      <w:r>
        <w:rPr>
          <w:rFonts w:hint="eastAsia" w:ascii="宋体" w:hAnsi="宋体" w:eastAsia="宋体" w:cs="宋体"/>
          <w:sz w:val="24"/>
          <w:szCs w:val="24"/>
        </w:rPr>
        <w:t>示视同放弃演示。</w:t>
      </w:r>
      <w:r>
        <w:rPr>
          <w:rFonts w:hint="eastAsia" w:ascii="宋体" w:hAnsi="宋体" w:eastAsia="宋体" w:cs="宋体"/>
          <w:sz w:val="24"/>
          <w:szCs w:val="24"/>
          <w:lang w:eastAsia="zh-CN"/>
        </w:rPr>
        <w:t>③</w:t>
      </w:r>
      <w:r>
        <w:rPr>
          <w:rFonts w:hint="eastAsia" w:ascii="宋体" w:hAnsi="宋体" w:eastAsia="宋体" w:cs="宋体"/>
          <w:sz w:val="24"/>
          <w:szCs w:val="24"/>
        </w:rPr>
        <w:t>本项演示时间不超过20分钟</w:t>
      </w:r>
      <w:r>
        <w:rPr>
          <w:rFonts w:hint="eastAsia" w:ascii="宋体" w:hAnsi="宋体" w:eastAsia="宋体" w:cs="宋体"/>
          <w:sz w:val="24"/>
          <w:szCs w:val="24"/>
          <w:lang w:eastAsia="zh-CN"/>
        </w:rPr>
        <w:t>。</w:t>
      </w:r>
      <w:r>
        <w:rPr>
          <w:rFonts w:hint="eastAsia" w:ascii="宋体" w:hAnsi="宋体" w:eastAsia="宋体" w:cs="宋体"/>
          <w:b/>
          <w:bCs w:val="0"/>
          <w:color w:val="auto"/>
          <w:sz w:val="24"/>
          <w:szCs w:val="24"/>
          <w:lang w:val="en-US" w:eastAsia="zh-CN"/>
        </w:rPr>
        <w:t>）</w:t>
      </w:r>
    </w:p>
    <w:p w14:paraId="235E8C43">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 xml:space="preserve"> </w:t>
      </w: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号25</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标准化管控措施智能填充：系统内置合规管控条目库，自动带出有限空间作业审批流程、气体检测频次、强制通风要求、现场监护制度等标准化条款；支持新增、编辑、删除自定义管控措施，所有条目前端可视化编辑。</w:t>
      </w:r>
      <w:r>
        <w:rPr>
          <w:rFonts w:hint="eastAsia" w:ascii="宋体" w:hAnsi="宋体" w:eastAsia="宋体" w:cs="宋体"/>
          <w:b/>
          <w:bCs w:val="0"/>
          <w:color w:val="auto"/>
          <w:sz w:val="24"/>
          <w:szCs w:val="24"/>
          <w:lang w:val="en-US" w:eastAsia="zh-CN"/>
        </w:rPr>
        <w:t>（</w:t>
      </w:r>
      <w:r>
        <w:rPr>
          <w:rFonts w:hint="eastAsia" w:ascii="宋体" w:hAnsi="宋体" w:eastAsia="宋体" w:cs="宋体"/>
          <w:b w:val="0"/>
          <w:bCs/>
          <w:color w:val="auto"/>
          <w:sz w:val="24"/>
          <w:szCs w:val="24"/>
          <w:lang w:val="en-US" w:eastAsia="zh-CN"/>
        </w:rPr>
        <w:t>①</w:t>
      </w:r>
      <w:r>
        <w:rPr>
          <w:rFonts w:hint="eastAsia" w:ascii="宋体" w:hAnsi="宋体" w:eastAsia="宋体" w:cs="宋体"/>
          <w:bCs/>
          <w:kern w:val="0"/>
          <w:sz w:val="24"/>
          <w:szCs w:val="24"/>
        </w:rPr>
        <w:t>须提供满足功能要求的演示demo或者真实演示系统</w:t>
      </w:r>
      <w:r>
        <w:rPr>
          <w:rFonts w:hint="eastAsia" w:ascii="宋体" w:hAnsi="宋体" w:eastAsia="宋体" w:cs="宋体"/>
          <w:bCs/>
          <w:kern w:val="0"/>
          <w:sz w:val="24"/>
          <w:szCs w:val="24"/>
          <w:lang w:eastAsia="zh-CN"/>
        </w:rPr>
        <w:t>；②</w:t>
      </w:r>
      <w:r>
        <w:rPr>
          <w:rFonts w:hint="eastAsia" w:ascii="宋体" w:hAnsi="宋体" w:eastAsia="宋体" w:cs="宋体"/>
          <w:bCs/>
          <w:sz w:val="24"/>
          <w:szCs w:val="24"/>
        </w:rPr>
        <w:t>演示说明：远程演示的投标人务必密切关注“电子交易-评审等候大厅”实时评审流程，并根据流程在系统内按时操作，评标委员会发起演示邀请后，投标人须在30分钟内响应进行演示，逾期未响应演</w:t>
      </w:r>
      <w:r>
        <w:rPr>
          <w:rFonts w:hint="eastAsia" w:ascii="宋体" w:hAnsi="宋体" w:eastAsia="宋体" w:cs="宋体"/>
          <w:sz w:val="24"/>
          <w:szCs w:val="24"/>
        </w:rPr>
        <w:t>示视同放弃演示。</w:t>
      </w:r>
      <w:r>
        <w:rPr>
          <w:rFonts w:hint="eastAsia" w:ascii="宋体" w:hAnsi="宋体" w:eastAsia="宋体" w:cs="宋体"/>
          <w:sz w:val="24"/>
          <w:szCs w:val="24"/>
          <w:lang w:eastAsia="zh-CN"/>
        </w:rPr>
        <w:t>③</w:t>
      </w:r>
      <w:r>
        <w:rPr>
          <w:rFonts w:hint="eastAsia" w:ascii="宋体" w:hAnsi="宋体" w:eastAsia="宋体" w:cs="宋体"/>
          <w:sz w:val="24"/>
          <w:szCs w:val="24"/>
        </w:rPr>
        <w:t>本项演示时间不超过20分钟</w:t>
      </w:r>
      <w:r>
        <w:rPr>
          <w:rFonts w:hint="eastAsia" w:ascii="宋体" w:hAnsi="宋体" w:eastAsia="宋体" w:cs="宋体"/>
          <w:sz w:val="24"/>
          <w:szCs w:val="24"/>
          <w:lang w:eastAsia="zh-CN"/>
        </w:rPr>
        <w:t>。</w:t>
      </w:r>
      <w:r>
        <w:rPr>
          <w:rFonts w:hint="eastAsia" w:ascii="宋体" w:hAnsi="宋体" w:eastAsia="宋体" w:cs="宋体"/>
          <w:b/>
          <w:bCs w:val="0"/>
          <w:color w:val="auto"/>
          <w:sz w:val="24"/>
          <w:szCs w:val="24"/>
          <w:lang w:val="en-US" w:eastAsia="zh-CN"/>
        </w:rPr>
        <w:t>）</w:t>
      </w:r>
    </w:p>
    <w:p w14:paraId="784D51E5">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号26</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应急措施自动匹配：针对中毒、窒息、爆炸等高风险场景，页面预填充应急器材配置、现场救援流程、人员个体防护要求，</w:t>
      </w:r>
      <w:r>
        <w:rPr>
          <w:rFonts w:hint="eastAsia" w:ascii="宋体" w:hAnsi="宋体" w:cs="宋体"/>
          <w:b w:val="0"/>
          <w:bCs/>
          <w:color w:val="auto"/>
          <w:sz w:val="24"/>
          <w:szCs w:val="24"/>
          <w:lang w:val="en-US" w:eastAsia="zh-CN"/>
        </w:rPr>
        <w:t>企业</w:t>
      </w:r>
      <w:r>
        <w:rPr>
          <w:rFonts w:hint="eastAsia" w:ascii="宋体" w:hAnsi="宋体" w:eastAsia="宋体" w:cs="宋体"/>
          <w:b w:val="0"/>
          <w:bCs/>
          <w:color w:val="auto"/>
          <w:sz w:val="24"/>
          <w:szCs w:val="24"/>
          <w:lang w:val="en-US"/>
        </w:rPr>
        <w:t>可结合现场实际补充专属应急处置方案。</w:t>
      </w:r>
      <w:r>
        <w:rPr>
          <w:rFonts w:hint="eastAsia" w:ascii="宋体" w:hAnsi="宋体" w:eastAsia="宋体" w:cs="宋体"/>
          <w:b/>
          <w:bCs w:val="0"/>
          <w:color w:val="auto"/>
          <w:sz w:val="24"/>
          <w:szCs w:val="24"/>
          <w:lang w:val="en-US" w:eastAsia="zh-CN"/>
        </w:rPr>
        <w:t>（</w:t>
      </w:r>
      <w:r>
        <w:rPr>
          <w:rFonts w:hint="eastAsia" w:ascii="宋体" w:hAnsi="宋体" w:eastAsia="宋体" w:cs="宋体"/>
          <w:b w:val="0"/>
          <w:bCs/>
          <w:color w:val="auto"/>
          <w:sz w:val="24"/>
          <w:szCs w:val="24"/>
          <w:lang w:val="en-US" w:eastAsia="zh-CN"/>
        </w:rPr>
        <w:t>①</w:t>
      </w:r>
      <w:r>
        <w:rPr>
          <w:rFonts w:hint="eastAsia" w:ascii="宋体" w:hAnsi="宋体" w:eastAsia="宋体" w:cs="宋体"/>
          <w:bCs/>
          <w:kern w:val="0"/>
          <w:sz w:val="24"/>
          <w:szCs w:val="24"/>
        </w:rPr>
        <w:t>须提供满足功能要求的演示demo或者真实演示系统</w:t>
      </w:r>
      <w:r>
        <w:rPr>
          <w:rFonts w:hint="eastAsia" w:ascii="宋体" w:hAnsi="宋体" w:eastAsia="宋体" w:cs="宋体"/>
          <w:bCs/>
          <w:kern w:val="0"/>
          <w:sz w:val="24"/>
          <w:szCs w:val="24"/>
          <w:lang w:eastAsia="zh-CN"/>
        </w:rPr>
        <w:t>；②</w:t>
      </w:r>
      <w:r>
        <w:rPr>
          <w:rFonts w:hint="eastAsia" w:ascii="宋体" w:hAnsi="宋体" w:eastAsia="宋体" w:cs="宋体"/>
          <w:bCs/>
          <w:sz w:val="24"/>
          <w:szCs w:val="24"/>
        </w:rPr>
        <w:t>演示说明：远程演示的投标人务必密切关注“电子交易-评审等候大厅”实时评审流程，并根据流程在系统内按时操作，评标委员会发起演示邀请后，投标人须在30分钟内响应进行演示，逾期未响应演</w:t>
      </w:r>
      <w:r>
        <w:rPr>
          <w:rFonts w:hint="eastAsia" w:ascii="宋体" w:hAnsi="宋体" w:eastAsia="宋体" w:cs="宋体"/>
          <w:sz w:val="24"/>
          <w:szCs w:val="24"/>
        </w:rPr>
        <w:t>示视同放弃演示。</w:t>
      </w:r>
      <w:r>
        <w:rPr>
          <w:rFonts w:hint="eastAsia" w:ascii="宋体" w:hAnsi="宋体" w:eastAsia="宋体" w:cs="宋体"/>
          <w:sz w:val="24"/>
          <w:szCs w:val="24"/>
          <w:lang w:eastAsia="zh-CN"/>
        </w:rPr>
        <w:t>③</w:t>
      </w:r>
      <w:r>
        <w:rPr>
          <w:rFonts w:hint="eastAsia" w:ascii="宋体" w:hAnsi="宋体" w:eastAsia="宋体" w:cs="宋体"/>
          <w:sz w:val="24"/>
          <w:szCs w:val="24"/>
        </w:rPr>
        <w:t>本项演示时间不超过20分钟</w:t>
      </w:r>
      <w:r>
        <w:rPr>
          <w:rFonts w:hint="eastAsia" w:ascii="宋体" w:hAnsi="宋体" w:eastAsia="宋体" w:cs="宋体"/>
          <w:sz w:val="24"/>
          <w:szCs w:val="24"/>
          <w:lang w:eastAsia="zh-CN"/>
        </w:rPr>
        <w:t>。</w:t>
      </w:r>
      <w:r>
        <w:rPr>
          <w:rFonts w:hint="eastAsia" w:ascii="宋体" w:hAnsi="宋体" w:eastAsia="宋体" w:cs="宋体"/>
          <w:b/>
          <w:bCs w:val="0"/>
          <w:color w:val="auto"/>
          <w:sz w:val="24"/>
          <w:szCs w:val="24"/>
          <w:lang w:val="en-US" w:eastAsia="zh-CN"/>
        </w:rPr>
        <w:t>）</w:t>
      </w:r>
    </w:p>
    <w:p w14:paraId="732860DB">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lang w:val="en-US"/>
        </w:rPr>
        <w:t xml:space="preserve">专属二维码定制赋码服务 </w:t>
      </w:r>
    </w:p>
    <w:p w14:paraId="5E39255E">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号27</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为每个点位逐一生成全省唯一加密专属二维码，采用动态加密算法防止篡改，实现二维码与点位档案、风险辨识结果、作业审批记录、芯片编码等核心数据的深度关联，确保“一码关联全域信息”。</w:t>
      </w:r>
    </w:p>
    <w:p w14:paraId="0456746B">
      <w:pPr>
        <w:pStyle w:val="11"/>
        <w:ind w:firstLine="482" w:firstLineChars="200"/>
        <w:jc w:val="both"/>
        <w:outlineLvl w:val="2"/>
        <w:rPr>
          <w:rFonts w:hint="eastAsia" w:ascii="宋体" w:hAnsi="宋体" w:eastAsia="宋体" w:cs="宋体"/>
          <w:b/>
          <w:bCs w:val="0"/>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号28</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全省唯一编码规则：采用“行政区划代码+行业代码+点位唯一序列号”的编码规则，确保全省范围内每个点位的二维码编码唯一、不可重复、全程可追溯。</w:t>
      </w:r>
      <w:r>
        <w:rPr>
          <w:rFonts w:hint="eastAsia" w:ascii="宋体" w:hAnsi="宋体" w:eastAsia="宋体" w:cs="宋体"/>
          <w:b/>
          <w:bCs w:val="0"/>
          <w:color w:val="auto"/>
          <w:sz w:val="24"/>
          <w:szCs w:val="24"/>
          <w:lang w:val="en-US" w:eastAsia="zh-CN"/>
        </w:rPr>
        <w:t>（须提供系统功能截图）</w:t>
      </w:r>
    </w:p>
    <w:p w14:paraId="6A6B909F">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号29</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国密级加密防护：采用国家商用密码SM2/SM4算法对二维码进行加密处理，防止篡改、伪造、非法复制；码内数据按账号角色权限分级展示，非授权用户仅可查看基础风险提示，保障数据安全。</w:t>
      </w:r>
    </w:p>
    <w:p w14:paraId="581639F5">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号30</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lang w:val="en-US"/>
        </w:rPr>
        <w:t>全量数据深度绑定：二维码同步关联点位基础档案、AI风险辨识结果、作业审批记录、隐患整改记录、预警处置记录、现场核验记录、五防芯片唯一编码，真正实现“一码统管、一码溯源”。</w:t>
      </w:r>
    </w:p>
    <w:p w14:paraId="394AB223">
      <w:pPr>
        <w:pStyle w:val="11"/>
        <w:ind w:firstLine="482" w:firstLineChars="200"/>
        <w:jc w:val="both"/>
        <w:outlineLvl w:val="2"/>
        <w:rPr>
          <w:rFonts w:hint="eastAsia" w:ascii="宋体" w:hAnsi="宋体" w:eastAsia="宋体" w:cs="宋体"/>
          <w:b w:val="0"/>
          <w:bCs/>
          <w:color w:val="auto"/>
          <w:sz w:val="24"/>
          <w:szCs w:val="24"/>
          <w:lang w:val="en-US" w:eastAsia="zh-CN"/>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号31</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lang w:val="en-US"/>
        </w:rPr>
        <w:t>二维码功能配置服务聚焦“信息展示、流程触发”核心需求，配置扫码查看动态安全信息、风险等级、防控措施、芯片关联信息等功能，支持扫码直接发起作业审批申请，简化操作流程：场景化功能适配：面向作业人员，扫码可快速发起作业申请、查看安全技术交底、现场一键上报隐患；面向监管执法人员，扫码可查看点位全量档案、历史监管记录、现场登记执法信息；面向企业管理人员，扫码可查看点位实时风险状态、作业进度、隐患整改闭环情况。</w:t>
      </w:r>
    </w:p>
    <w:p w14:paraId="007DCDA5">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号32</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8、</w:t>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lang w:val="en-US"/>
        </w:rPr>
        <w:t>可视化风险告知牌配套服务</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rPr>
        <w:t>系统自动整合点位全部辨识、管控数据，生成标准化有限空间作业安全风险告知牌可视化编辑页面；</w:t>
      </w:r>
      <w:r>
        <w:rPr>
          <w:rFonts w:hint="eastAsia" w:ascii="宋体" w:hAnsi="宋体" w:cs="宋体"/>
          <w:b w:val="0"/>
          <w:bCs/>
          <w:color w:val="auto"/>
          <w:sz w:val="24"/>
          <w:szCs w:val="24"/>
          <w:lang w:val="en-US" w:eastAsia="zh-CN"/>
        </w:rPr>
        <w:t>（2）</w:t>
      </w:r>
      <w:r>
        <w:rPr>
          <w:rFonts w:hint="eastAsia" w:ascii="宋体" w:hAnsi="宋体" w:eastAsia="宋体" w:cs="宋体"/>
          <w:b w:val="0"/>
          <w:bCs/>
          <w:color w:val="auto"/>
          <w:sz w:val="24"/>
          <w:szCs w:val="24"/>
          <w:lang w:val="en-US"/>
        </w:rPr>
        <w:t>告知牌包含核心要素：点位名称、风险等级、气体检测国标限值、作业禁令“先通风、再检测、后作业”、国标警示标识、应急联系电话、责任单位；</w:t>
      </w:r>
      <w:r>
        <w:rPr>
          <w:rFonts w:ascii="宋体" w:hAnsi="宋体" w:eastAsia="宋体" w:cs="宋体"/>
          <w:bCs/>
          <w:color w:val="auto"/>
          <w:sz w:val="24"/>
          <w:szCs w:val="24"/>
        </w:rPr>
        <w:t>告知牌支持在页面端选择尺寸自定义，提供</w:t>
      </w:r>
      <w:r>
        <w:rPr>
          <w:rFonts w:hint="eastAsia" w:ascii="宋体" w:hAnsi="宋体" w:cs="宋体"/>
          <w:bCs/>
          <w:color w:val="auto"/>
          <w:sz w:val="24"/>
          <w:szCs w:val="24"/>
          <w:lang w:val="en-US" w:eastAsia="zh-CN"/>
        </w:rPr>
        <w:t>至少</w:t>
      </w:r>
      <w:r>
        <w:rPr>
          <w:rFonts w:ascii="宋体" w:hAnsi="宋体" w:eastAsia="宋体" w:cs="宋体"/>
          <w:bCs/>
          <w:color w:val="auto"/>
          <w:sz w:val="24"/>
          <w:szCs w:val="24"/>
        </w:rPr>
        <w:t>两种预设尺寸：</w:t>
      </w:r>
      <w:r>
        <w:rPr>
          <w:rFonts w:hint="eastAsia" w:ascii="宋体" w:hAnsi="宋体" w:cs="宋体"/>
          <w:bCs/>
          <w:color w:val="auto"/>
          <w:sz w:val="24"/>
          <w:szCs w:val="24"/>
          <w:lang w:eastAsia="zh-CN"/>
        </w:rPr>
        <w:t>（长</w:t>
      </w:r>
      <w:r>
        <w:rPr>
          <w:rFonts w:ascii="宋体" w:hAnsi="宋体" w:eastAsia="宋体" w:cs="宋体"/>
          <w:bCs/>
          <w:color w:val="auto"/>
          <w:sz w:val="24"/>
          <w:szCs w:val="24"/>
        </w:rPr>
        <w:t>160cm</w:t>
      </w:r>
      <w:r>
        <w:rPr>
          <w:rFonts w:hint="eastAsia" w:ascii="宋体" w:hAnsi="宋体" w:cs="宋体"/>
          <w:bCs/>
          <w:color w:val="auto"/>
          <w:sz w:val="24"/>
          <w:szCs w:val="24"/>
          <w:lang w:val="en-US" w:eastAsia="zh-CN"/>
        </w:rPr>
        <w:t>*宽</w:t>
      </w:r>
      <w:r>
        <w:rPr>
          <w:rFonts w:ascii="宋体" w:hAnsi="宋体" w:eastAsia="宋体" w:cs="宋体"/>
          <w:bCs/>
          <w:color w:val="auto"/>
          <w:sz w:val="24"/>
          <w:szCs w:val="24"/>
        </w:rPr>
        <w:t>120cm、</w:t>
      </w:r>
      <w:r>
        <w:rPr>
          <w:rFonts w:hint="eastAsia" w:ascii="宋体" w:hAnsi="宋体" w:cs="宋体"/>
          <w:bCs/>
          <w:color w:val="auto"/>
          <w:sz w:val="24"/>
          <w:szCs w:val="24"/>
          <w:lang w:eastAsia="zh-CN"/>
        </w:rPr>
        <w:t>长</w:t>
      </w:r>
      <w:r>
        <w:rPr>
          <w:rFonts w:ascii="宋体" w:hAnsi="宋体" w:eastAsia="宋体" w:cs="宋体"/>
          <w:bCs/>
          <w:color w:val="auto"/>
          <w:sz w:val="24"/>
          <w:szCs w:val="24"/>
        </w:rPr>
        <w:t>120cm</w:t>
      </w:r>
      <w:r>
        <w:rPr>
          <w:rFonts w:hint="eastAsia" w:ascii="宋体" w:hAnsi="宋体" w:cs="宋体"/>
          <w:bCs/>
          <w:color w:val="auto"/>
          <w:sz w:val="24"/>
          <w:szCs w:val="24"/>
          <w:lang w:val="en-US" w:eastAsia="zh-CN"/>
        </w:rPr>
        <w:t>*宽</w:t>
      </w:r>
      <w:r>
        <w:rPr>
          <w:rFonts w:ascii="宋体" w:hAnsi="宋体" w:eastAsia="宋体" w:cs="宋体"/>
          <w:bCs/>
          <w:color w:val="auto"/>
          <w:sz w:val="24"/>
          <w:szCs w:val="24"/>
        </w:rPr>
        <w:t>90cm</w:t>
      </w:r>
      <w:r>
        <w:rPr>
          <w:rFonts w:hint="eastAsia" w:ascii="宋体" w:hAnsi="宋体" w:cs="宋体"/>
          <w:bCs/>
          <w:color w:val="auto"/>
          <w:sz w:val="24"/>
          <w:szCs w:val="24"/>
          <w:lang w:eastAsia="zh-CN"/>
        </w:rPr>
        <w:t>）</w:t>
      </w:r>
      <w:r>
        <w:rPr>
          <w:rFonts w:hint="eastAsia" w:ascii="宋体" w:hAnsi="宋体" w:cs="宋体"/>
          <w:bCs/>
          <w:color w:val="auto"/>
          <w:sz w:val="24"/>
          <w:szCs w:val="24"/>
          <w:lang w:val="en-US" w:eastAsia="zh-CN"/>
        </w:rPr>
        <w:t>的</w:t>
      </w:r>
      <w:r>
        <w:rPr>
          <w:rFonts w:hint="eastAsia" w:ascii="宋体" w:hAnsi="宋体" w:eastAsia="宋体" w:cs="宋体"/>
          <w:b w:val="0"/>
          <w:bCs/>
          <w:color w:val="auto"/>
          <w:sz w:val="24"/>
          <w:szCs w:val="24"/>
          <w:lang w:val="en-US"/>
        </w:rPr>
        <w:t>实时预览排版效果；配套国标安全警示标识素材库，内置140+类警示图标，制作时可直接拖拽选用；配套专家线上审核界面，告知牌初稿可线上推送安全专家审核，专家在线出具审核意见，系统根据意见一键自动修订内容；后台配套风险告知牌订单全流程管理台账页面，完整记录企业、数量、规格、单价、下单时间，支持批量导出订单、下载高清成品图、重新下单。</w:t>
      </w:r>
      <w:r>
        <w:rPr>
          <w:rFonts w:hint="eastAsia" w:ascii="宋体" w:hAnsi="宋体" w:eastAsia="宋体" w:cs="宋体"/>
          <w:b/>
          <w:bCs w:val="0"/>
          <w:color w:val="auto"/>
          <w:sz w:val="24"/>
          <w:szCs w:val="24"/>
          <w:lang w:val="en-US" w:eastAsia="zh-CN"/>
        </w:rPr>
        <w:t>（须提供</w:t>
      </w:r>
      <w:r>
        <w:rPr>
          <w:rFonts w:hint="eastAsia" w:ascii="宋体" w:hAnsi="宋体" w:cs="宋体"/>
          <w:b/>
          <w:bCs w:val="0"/>
          <w:color w:val="auto"/>
          <w:sz w:val="24"/>
          <w:szCs w:val="24"/>
          <w:lang w:val="en-US" w:eastAsia="zh-CN"/>
        </w:rPr>
        <w:t>（1）（2）</w:t>
      </w:r>
      <w:r>
        <w:rPr>
          <w:rFonts w:hint="eastAsia" w:ascii="宋体" w:hAnsi="宋体" w:eastAsia="宋体" w:cs="宋体"/>
          <w:b/>
          <w:bCs w:val="0"/>
          <w:color w:val="auto"/>
          <w:sz w:val="24"/>
          <w:szCs w:val="24"/>
          <w:lang w:val="en-US" w:eastAsia="zh-CN"/>
        </w:rPr>
        <w:t>系统功能截图）</w:t>
      </w:r>
    </w:p>
    <w:p w14:paraId="6DA75131">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9、</w:t>
      </w:r>
      <w:r>
        <w:rPr>
          <w:rFonts w:hint="eastAsia" w:ascii="宋体" w:hAnsi="宋体" w:eastAsia="宋体" w:cs="宋体"/>
          <w:b w:val="0"/>
          <w:bCs/>
          <w:color w:val="auto"/>
          <w:sz w:val="24"/>
          <w:szCs w:val="24"/>
          <w:lang w:val="en-US"/>
        </w:rPr>
        <w:t>风险信息动态更新服务</w:t>
      </w:r>
    </w:p>
    <w:p w14:paraId="11B935F9">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号33</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当点位风险等级、管控措施发生变化时，系统自动将更新后的风险信息同步至专属二维码、芯片管控关联信息、风险告知牌，确保码内信息与现场实际风险状态一致，前端界面实时同步更新内容。</w:t>
      </w:r>
    </w:p>
    <w:p w14:paraId="1BA3E028">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号34</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全场景触发更新：点位档案变更、AI 辨识结果复核调整、专项评估内容修改、隐患排查新增风险、专家审核修订告知牌、监管检查整改等场景，均自动触发二维码与芯片关联数据同步更新，无需人工干预。</w:t>
      </w:r>
    </w:p>
    <w:p w14:paraId="11821C4D">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号35</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（3）①</w:t>
      </w:r>
      <w:r>
        <w:rPr>
          <w:rFonts w:hint="eastAsia" w:ascii="宋体" w:hAnsi="宋体" w:eastAsia="宋体" w:cs="宋体"/>
          <w:b w:val="0"/>
          <w:bCs/>
          <w:color w:val="auto"/>
          <w:sz w:val="24"/>
          <w:szCs w:val="24"/>
          <w:lang w:val="en-US"/>
        </w:rPr>
        <w:t>变更通知提醒：风险信息更新完成后，系统自动推送站内消息至企业安全负责人，确保相关管理人员及时掌握点位风险变动。</w:t>
      </w:r>
      <w:r>
        <w:rPr>
          <w:rFonts w:hint="eastAsia" w:ascii="宋体" w:hAnsi="宋体" w:eastAsia="宋体" w:cs="宋体"/>
          <w:b w:val="0"/>
          <w:bCs/>
          <w:color w:val="auto"/>
          <w:sz w:val="24"/>
          <w:szCs w:val="24"/>
          <w:lang w:val="en-US" w:eastAsia="zh-CN"/>
        </w:rPr>
        <w:t>②</w:t>
      </w:r>
      <w:r>
        <w:rPr>
          <w:rFonts w:hint="eastAsia" w:ascii="宋体" w:hAnsi="宋体" w:eastAsia="宋体" w:cs="宋体"/>
          <w:b w:val="0"/>
          <w:bCs/>
          <w:color w:val="auto"/>
          <w:sz w:val="24"/>
          <w:szCs w:val="24"/>
          <w:lang w:val="en-US"/>
        </w:rPr>
        <w:t>到期预警更新：针对风险辨识报告到期、点位现场核验到期的点位，自动在二维码、告知牌内标注醒目到期提醒信息。</w:t>
      </w:r>
    </w:p>
    <w:p w14:paraId="2B7444F7">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lang w:val="en-US"/>
        </w:rPr>
        <w:t xml:space="preserve">模型优化迭代服务 </w:t>
      </w:r>
    </w:p>
    <w:p w14:paraId="53470154">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号36</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支持基于新增点位数据、事故案例数据对风险辨识模型进行持续训练优化，提升风险辨识准确率，适配新增行业、新增风险类型的辨识需求。</w:t>
      </w:r>
    </w:p>
    <w:p w14:paraId="12A703BC">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号37</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 xml:space="preserve">效果持续优化：通过持续补充风险样本、调优模型参数，不断提升风险辨识准确率、召回率，降低误报、漏报概率。 </w:t>
      </w:r>
    </w:p>
    <w:p w14:paraId="033921CE">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号38</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行业扩展适配：支持新增行业风险样本批量导入，快速完成对应行业 AI 辨识模型训练上线，适配监管范围拓展需求。</w:t>
      </w:r>
    </w:p>
    <w:p w14:paraId="4B0C430E">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11、</w:t>
      </w:r>
      <w:r>
        <w:rPr>
          <w:rFonts w:hint="eastAsia" w:ascii="宋体" w:hAnsi="宋体" w:eastAsia="宋体" w:cs="宋体"/>
          <w:b w:val="0"/>
          <w:bCs/>
          <w:color w:val="auto"/>
          <w:sz w:val="24"/>
          <w:szCs w:val="24"/>
          <w:lang w:val="en-US"/>
        </w:rPr>
        <w:t>配套辅助功能</w:t>
      </w:r>
    </w:p>
    <w:p w14:paraId="41505C92">
      <w:pPr>
        <w:pStyle w:val="11"/>
        <w:ind w:firstLine="482" w:firstLineChars="200"/>
        <w:jc w:val="both"/>
        <w:outlineLvl w:val="2"/>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号39</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平台配套独立法规标准知识库对话可视化界面，为风险辨识、合规管控提供法规依据支撑</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rPr>
        <w:t>法规标准知识库模块：内置600+份安全生产法律法规、GB/AQ行业标准文件，包含《有限空间作业安全技术规范》（GB 46768-2025）</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rPr>
        <w:t>《</w:t>
      </w:r>
      <w:r>
        <w:rPr>
          <w:rFonts w:ascii="宋体" w:hAnsi="宋体" w:eastAsia="宋体" w:cs="宋体"/>
          <w:bCs/>
          <w:i w:val="0"/>
          <w:iCs w:val="0"/>
          <w:caps w:val="0"/>
          <w:color w:val="auto"/>
          <w:spacing w:val="0"/>
          <w:sz w:val="24"/>
          <w:szCs w:val="24"/>
        </w:rPr>
        <w:t>危险化学品企业特殊作业安全规范（GB 30871-2022）</w:t>
      </w:r>
      <w:r>
        <w:rPr>
          <w:rFonts w:hint="eastAsia" w:ascii="宋体" w:hAnsi="宋体" w:eastAsia="宋体" w:cs="宋体"/>
          <w:b w:val="0"/>
          <w:bCs/>
          <w:color w:val="auto"/>
          <w:sz w:val="24"/>
          <w:szCs w:val="24"/>
          <w:lang w:val="en-US"/>
        </w:rPr>
        <w:t>》等有限空间专项规范；页面支持关键词检索、在线预览、文件下载；配套独立安全警示标志素材管理界面，支持图标预览、筛选、下载、自定义素材上传。</w:t>
      </w:r>
      <w:r>
        <w:rPr>
          <w:rFonts w:hint="eastAsia" w:ascii="宋体" w:hAnsi="宋体" w:eastAsia="宋体" w:cs="宋体"/>
          <w:b/>
          <w:bCs w:val="0"/>
          <w:color w:val="auto"/>
          <w:sz w:val="24"/>
          <w:szCs w:val="24"/>
          <w:lang w:val="en-US" w:eastAsia="zh-CN"/>
        </w:rPr>
        <w:t>（须提供系统功能截图）</w:t>
      </w:r>
    </w:p>
    <w:p w14:paraId="24ED7C2B">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号40</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AI智能问答交互模块：内置有限空间专项法规问答库，支持自然语言提问（如受限空间气体检测时长、通风要求等），系统自动调取国标条文输出权威答复，辅助企业校验风险辨识、管控措施、作业流程的合规性。</w:t>
      </w:r>
      <w:r>
        <w:rPr>
          <w:rFonts w:hint="eastAsia" w:ascii="宋体" w:hAnsi="宋体" w:eastAsia="宋体" w:cs="宋体"/>
          <w:b/>
          <w:bCs w:val="0"/>
          <w:color w:val="auto"/>
          <w:sz w:val="24"/>
          <w:szCs w:val="24"/>
          <w:lang w:val="en-US" w:eastAsia="zh-CN"/>
        </w:rPr>
        <w:t>（须提供系统功能截图）</w:t>
      </w:r>
    </w:p>
    <w:p w14:paraId="442B25A9">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rPr>
        <w:t>（三）作业流程审批、定期检查、隐患闭环与五防芯片适配对接服务</w:t>
      </w:r>
    </w:p>
    <w:p w14:paraId="31706C2F">
      <w:pPr>
        <w:pStyle w:val="11"/>
        <w:ind w:firstLine="482" w:firstLineChars="200"/>
        <w:jc w:val="both"/>
        <w:outlineLvl w:val="2"/>
        <w:rPr>
          <w:rFonts w:hint="eastAsia" w:ascii="宋体" w:hAnsi="宋体" w:eastAsia="宋体" w:cs="宋体"/>
          <w:b w:val="0"/>
          <w:bCs/>
          <w:color w:val="auto"/>
          <w:sz w:val="24"/>
          <w:szCs w:val="24"/>
          <w:lang w:val="en-US" w:eastAsia="zh-CN"/>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号41</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rPr>
        <w:t>本系统聚焦有限空间作业全流程合规管控，构建标准化线上审批流程，配套定期安全检查、隐患全生命周期闭环、多维度统计看板和芯片或标识载体与二维码的关联能力，形成“作业前风险确认、作业中动态管控、作业后留痕追溯”的闭环管理，并以合同约定的功能、性能和验收指标进行验证</w:t>
      </w:r>
      <w:r>
        <w:rPr>
          <w:rFonts w:hint="eastAsia" w:ascii="宋体" w:hAnsi="宋体" w:eastAsia="宋体" w:cs="宋体"/>
          <w:b w:val="0"/>
          <w:bCs/>
          <w:color w:val="auto"/>
          <w:sz w:val="24"/>
          <w:szCs w:val="24"/>
          <w:lang w:val="en-US" w:eastAsia="zh-CN"/>
        </w:rPr>
        <w:t>。</w:t>
      </w:r>
    </w:p>
    <w:p w14:paraId="6AD35780">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标准化作业审批服务</w:t>
      </w:r>
    </w:p>
    <w:p w14:paraId="42A3428B">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号42</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开发简洁规范的线上作业审批流程，涵盖“申请-审核-</w:t>
      </w:r>
      <w:r>
        <w:rPr>
          <w:rFonts w:hint="eastAsia" w:ascii="宋体" w:hAnsi="宋体" w:eastAsia="宋体" w:cs="宋体"/>
          <w:b w:val="0"/>
          <w:bCs/>
          <w:color w:val="auto"/>
          <w:sz w:val="24"/>
          <w:szCs w:val="24"/>
          <w:lang w:val="en-US" w:eastAsia="zh-CN"/>
        </w:rPr>
        <w:t>实施</w:t>
      </w:r>
      <w:r>
        <w:rPr>
          <w:rFonts w:hint="eastAsia" w:ascii="宋体" w:hAnsi="宋体" w:eastAsia="宋体" w:cs="宋体"/>
          <w:b w:val="0"/>
          <w:bCs/>
          <w:color w:val="auto"/>
          <w:sz w:val="24"/>
          <w:szCs w:val="24"/>
          <w:lang w:val="en-US"/>
        </w:rPr>
        <w:t>” 核心环节，明确各环节权责主体及办理时限，设置作业人员资质核验、风险防控措施落实审核、应急准备情况核查等必填项，支持按点位风险等级差异化配置审批流程。</w:t>
      </w:r>
      <w:r>
        <w:rPr>
          <w:rFonts w:hint="eastAsia" w:ascii="宋体" w:hAnsi="宋体" w:eastAsia="宋体" w:cs="宋体"/>
          <w:b/>
          <w:bCs w:val="0"/>
          <w:color w:val="auto"/>
          <w:sz w:val="24"/>
          <w:szCs w:val="24"/>
          <w:lang w:val="en-US" w:eastAsia="zh-CN"/>
        </w:rPr>
        <w:t>（须提供系统功能截图）</w:t>
      </w:r>
    </w:p>
    <w:p w14:paraId="136ACA12">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号43</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法规合规性固化：严格遵循《有限空间作业安全技术规范》（GB 46768-2025）法规要求，固化 “先审批、后作业，先通风、再检测、后作业” 的核心原则，前端申请页面设置刚性合规校验，缺项无法提交作业申请，从源头杜绝违规作业。</w:t>
      </w:r>
      <w:r>
        <w:rPr>
          <w:rFonts w:hint="eastAsia" w:ascii="宋体" w:hAnsi="宋体" w:eastAsia="宋体" w:cs="宋体"/>
          <w:b/>
          <w:bCs w:val="0"/>
          <w:color w:val="auto"/>
          <w:sz w:val="24"/>
          <w:szCs w:val="24"/>
          <w:lang w:val="en-US" w:eastAsia="zh-CN"/>
        </w:rPr>
        <w:t>（须提供系统功能截图）</w:t>
      </w:r>
    </w:p>
    <w:p w14:paraId="7FC863A8">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号44</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差异化流程配置：按点位风险等级灵活配置审批节点。</w:t>
      </w:r>
    </w:p>
    <w:p w14:paraId="362F2BF0">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号45</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lang w:val="en-US"/>
        </w:rPr>
        <w:t>刚性合规校验：内置强制审核规则，作业申请必须完成作业人员与监护人员资质核验、风险防控措施确认、气体检测方案上传、应急器材与预案落实，缺少任一材料无法提交申请。</w:t>
      </w:r>
    </w:p>
    <w:p w14:paraId="643D8AB8">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号46</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lang w:val="en-US"/>
        </w:rPr>
        <w:t>全周期作业管控：流程覆盖作业前线上审批、作业前现场扫码确认、作业中动态监护、作业完成后核销归档全环节。</w:t>
      </w:r>
    </w:p>
    <w:p w14:paraId="326A29FA">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号47</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lang w:val="en-US"/>
        </w:rPr>
        <w:t>多端审批入口服务</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rPr>
        <w:t>整合二维码移动端、</w:t>
      </w:r>
      <w:r>
        <w:rPr>
          <w:rFonts w:hint="eastAsia" w:ascii="宋体" w:hAnsi="宋体" w:eastAsia="宋体" w:cs="宋体"/>
          <w:b w:val="0"/>
          <w:bCs/>
          <w:color w:val="auto"/>
          <w:sz w:val="24"/>
          <w:szCs w:val="24"/>
          <w:lang w:val="en-US" w:eastAsia="zh-CN"/>
        </w:rPr>
        <w:t>Web</w:t>
      </w:r>
      <w:r>
        <w:rPr>
          <w:rFonts w:hint="eastAsia" w:ascii="宋体" w:hAnsi="宋体" w:eastAsia="宋体" w:cs="宋体"/>
          <w:b w:val="0"/>
          <w:bCs/>
          <w:color w:val="auto"/>
          <w:sz w:val="24"/>
          <w:szCs w:val="24"/>
          <w:lang w:val="en-US"/>
        </w:rPr>
        <w:t xml:space="preserve"> 管理端双审批入口，企业可现场扫码一键发起审批申请，审批人员可通过移动端在线审核、批复，实现随时随地办理审批业务。</w:t>
      </w:r>
      <w:r>
        <w:rPr>
          <w:rFonts w:hint="eastAsia" w:ascii="宋体" w:hAnsi="宋体" w:cs="宋体"/>
          <w:b w:val="0"/>
          <w:bCs/>
          <w:color w:val="auto"/>
          <w:sz w:val="24"/>
          <w:szCs w:val="24"/>
          <w:lang w:val="en-US" w:eastAsia="zh-CN"/>
        </w:rPr>
        <w:t>（2）</w:t>
      </w:r>
      <w:r>
        <w:rPr>
          <w:rFonts w:hint="eastAsia" w:ascii="宋体" w:hAnsi="宋体" w:eastAsia="宋体" w:cs="宋体"/>
          <w:b w:val="0"/>
          <w:bCs/>
          <w:color w:val="auto"/>
          <w:sz w:val="24"/>
          <w:szCs w:val="24"/>
          <w:lang w:val="en-US"/>
        </w:rPr>
        <w:t xml:space="preserve"> 多场景适配：</w:t>
      </w:r>
      <w:r>
        <w:rPr>
          <w:rFonts w:hint="eastAsia" w:ascii="宋体" w:hAnsi="宋体" w:eastAsia="宋体" w:cs="宋体"/>
          <w:b w:val="0"/>
          <w:bCs/>
          <w:color w:val="auto"/>
          <w:sz w:val="24"/>
          <w:szCs w:val="24"/>
          <w:lang w:val="en-US" w:eastAsia="zh-CN"/>
        </w:rPr>
        <w:t>Web</w:t>
      </w:r>
      <w:r>
        <w:rPr>
          <w:rFonts w:hint="eastAsia" w:ascii="宋体" w:hAnsi="宋体" w:eastAsia="宋体" w:cs="宋体"/>
          <w:b w:val="0"/>
          <w:bCs/>
          <w:color w:val="auto"/>
          <w:sz w:val="24"/>
          <w:szCs w:val="24"/>
          <w:lang w:val="en-US"/>
        </w:rPr>
        <w:t>端适配企业后台批量审批、监管部门批量备案；移动端适配外出、现场办公场景，支持在线查看材料、签署审批意见、驳回补正。</w:t>
      </w:r>
      <w:r>
        <w:rPr>
          <w:rFonts w:hint="eastAsia" w:ascii="宋体" w:hAnsi="宋体" w:cs="宋体"/>
          <w:b w:val="0"/>
          <w:bCs/>
          <w:color w:val="auto"/>
          <w:sz w:val="24"/>
          <w:szCs w:val="24"/>
          <w:lang w:val="en-US" w:eastAsia="zh-CN"/>
        </w:rPr>
        <w:t>（3）</w:t>
      </w:r>
      <w:r>
        <w:rPr>
          <w:rFonts w:hint="eastAsia" w:ascii="宋体" w:hAnsi="宋体" w:eastAsia="宋体" w:cs="宋体"/>
          <w:b w:val="0"/>
          <w:bCs/>
          <w:color w:val="auto"/>
          <w:sz w:val="24"/>
          <w:szCs w:val="24"/>
          <w:lang w:val="en-US"/>
        </w:rPr>
        <w:t>审批进度跟踪：全程透明可溯，申请人可在页面实时查看审批节点进度、各级审批意见，支持按企业、点位、时间、审批状态多维度查询追溯审批记录。</w:t>
      </w:r>
    </w:p>
    <w:p w14:paraId="56029F9C">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号48</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3、</w:t>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lang w:val="en-US"/>
        </w:rPr>
        <w:t>定期安全检查计划配置服务</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rPr>
        <w:t>配套独立检查计划配置可视化页面</w:t>
      </w:r>
      <w:r>
        <w:rPr>
          <w:rFonts w:hint="eastAsia" w:ascii="宋体" w:hAnsi="宋体" w:eastAsia="宋体" w:cs="宋体"/>
          <w:b w:val="0"/>
          <w:bCs/>
          <w:color w:val="auto"/>
          <w:sz w:val="24"/>
          <w:szCs w:val="24"/>
          <w:lang w:val="en-US" w:eastAsia="zh-CN"/>
        </w:rPr>
        <w:t>；</w:t>
      </w:r>
      <w:r>
        <w:rPr>
          <w:rFonts w:hint="eastAsia" w:ascii="宋体" w:hAnsi="宋体" w:cs="宋体"/>
          <w:b w:val="0"/>
          <w:bCs/>
          <w:color w:val="auto"/>
          <w:sz w:val="24"/>
          <w:szCs w:val="24"/>
          <w:lang w:val="en-US" w:eastAsia="zh-CN"/>
        </w:rPr>
        <w:t>（2）</w:t>
      </w:r>
      <w:r>
        <w:rPr>
          <w:rFonts w:hint="eastAsia" w:ascii="宋体" w:hAnsi="宋体" w:eastAsia="宋体" w:cs="宋体"/>
          <w:b w:val="0"/>
          <w:bCs/>
          <w:color w:val="auto"/>
          <w:sz w:val="24"/>
          <w:szCs w:val="24"/>
          <w:lang w:val="en-US"/>
        </w:rPr>
        <w:t>实现有限空间常态化检查标准化管控：智能匹配专项检查项目清单，系统根据点位风险类型自动生成有限空间专项检查条目，包含入口警示标识、通风检测执行流程、防护装备配置、应急物资、作业审批台账核查等；支持灵活配置每周/每月/季度检查周期，绑定对应检查人员，批量新增、自定义编辑检查条目；现场检查发现问题可直接在页面上报隐患，自动流入隐患管理台账，形成 “计划-检查-隐患-整改”闭环。</w:t>
      </w:r>
      <w:r>
        <w:rPr>
          <w:rFonts w:hint="eastAsia" w:ascii="宋体" w:hAnsi="宋体" w:eastAsia="宋体" w:cs="宋体"/>
          <w:b/>
          <w:bCs w:val="0"/>
          <w:color w:val="auto"/>
          <w:sz w:val="24"/>
          <w:szCs w:val="24"/>
          <w:lang w:val="en-US" w:eastAsia="zh-CN"/>
        </w:rPr>
        <w:t>（须提供</w:t>
      </w:r>
      <w:r>
        <w:rPr>
          <w:rFonts w:hint="eastAsia" w:ascii="宋体" w:hAnsi="宋体" w:cs="宋体"/>
          <w:b/>
          <w:bCs w:val="0"/>
          <w:color w:val="auto"/>
          <w:sz w:val="24"/>
          <w:szCs w:val="24"/>
          <w:lang w:val="en-US" w:eastAsia="zh-CN"/>
        </w:rPr>
        <w:t>（1）（2）</w:t>
      </w:r>
      <w:r>
        <w:rPr>
          <w:rFonts w:hint="eastAsia" w:ascii="宋体" w:hAnsi="宋体" w:eastAsia="宋体" w:cs="宋体"/>
          <w:b/>
          <w:bCs w:val="0"/>
          <w:color w:val="auto"/>
          <w:sz w:val="24"/>
          <w:szCs w:val="24"/>
          <w:lang w:val="en-US" w:eastAsia="zh-CN"/>
        </w:rPr>
        <w:t>系统功能截图）</w:t>
      </w:r>
    </w:p>
    <w:p w14:paraId="543E4FBB">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号49</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4、</w:t>
      </w:r>
      <w:r>
        <w:rPr>
          <w:rFonts w:hint="eastAsia" w:ascii="宋体" w:hAnsi="宋体" w:cs="宋体"/>
          <w:b w:val="0"/>
          <w:bCs/>
          <w:color w:val="auto"/>
          <w:sz w:val="24"/>
          <w:szCs w:val="24"/>
          <w:lang w:val="en-US" w:eastAsia="zh-CN"/>
        </w:rPr>
        <w:t>（1）</w:t>
      </w:r>
      <w:r>
        <w:rPr>
          <w:rFonts w:hint="eastAsia" w:ascii="宋体" w:hAnsi="宋体" w:eastAsia="宋体" w:cs="宋体"/>
          <w:b w:val="0"/>
          <w:bCs/>
          <w:color w:val="auto"/>
          <w:sz w:val="24"/>
          <w:szCs w:val="24"/>
          <w:lang w:val="en-US"/>
        </w:rPr>
        <w:t>隐患全生命周期闭环管控服务</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lang w:val="en-US"/>
        </w:rPr>
        <w:t>配套隐患管理驾驶舱看板、隐患详情弹窗，完整覆盖隐患上报、分派、整改、复查</w:t>
      </w:r>
      <w:r>
        <w:rPr>
          <w:rFonts w:hint="eastAsia" w:ascii="宋体" w:hAnsi="宋体" w:eastAsia="宋体" w:cs="宋体"/>
          <w:b w:val="0"/>
          <w:bCs/>
          <w:color w:val="auto"/>
          <w:sz w:val="24"/>
          <w:szCs w:val="24"/>
          <w:lang w:val="en-US" w:eastAsia="zh-CN"/>
        </w:rPr>
        <w:t>；</w:t>
      </w:r>
      <w:r>
        <w:rPr>
          <w:rFonts w:hint="eastAsia" w:ascii="宋体" w:hAnsi="宋体" w:cs="宋体"/>
          <w:b w:val="0"/>
          <w:bCs/>
          <w:color w:val="auto"/>
          <w:sz w:val="24"/>
          <w:szCs w:val="24"/>
          <w:lang w:val="en-US" w:eastAsia="zh-CN"/>
        </w:rPr>
        <w:t>（2）</w:t>
      </w:r>
      <w:r>
        <w:rPr>
          <w:rFonts w:hint="eastAsia" w:ascii="宋体" w:hAnsi="宋体" w:eastAsia="宋体" w:cs="宋体"/>
          <w:b w:val="0"/>
          <w:bCs/>
          <w:color w:val="auto"/>
          <w:sz w:val="24"/>
          <w:szCs w:val="24"/>
          <w:lang w:val="en-US"/>
        </w:rPr>
        <w:t>归档全流程：隐患总览看板可视化展示较大以上风险点位总数、待处理隐患数量、历史整改完成隐患数量，日历视图展示当日待整改任务；扫码移动端可上报隐患，上传现场问题照片、标注风险等级、归属点位、责任部门；管理员线上分配整改负责人、设置整改期限；整改完成后企业上传整改后佐证图片提交复查；监管/管理员线上复核，复核通过则隐患闭环，驳回则退回重新整改；全部隐患记录可按企业、点位、风险类型、整改状态筛选、批量导出，支撑监管执法、事故调查追溯。</w:t>
      </w:r>
      <w:r>
        <w:rPr>
          <w:rFonts w:hint="eastAsia" w:ascii="宋体" w:hAnsi="宋体" w:eastAsia="宋体" w:cs="宋体"/>
          <w:b/>
          <w:bCs w:val="0"/>
          <w:color w:val="auto"/>
          <w:sz w:val="24"/>
          <w:szCs w:val="24"/>
          <w:lang w:val="en-US" w:eastAsia="zh-CN"/>
        </w:rPr>
        <w:t>（须提供</w:t>
      </w:r>
      <w:r>
        <w:rPr>
          <w:rFonts w:hint="eastAsia" w:ascii="宋体" w:hAnsi="宋体" w:cs="宋体"/>
          <w:b/>
          <w:bCs w:val="0"/>
          <w:color w:val="auto"/>
          <w:sz w:val="24"/>
          <w:szCs w:val="24"/>
          <w:lang w:val="en-US" w:eastAsia="zh-CN"/>
        </w:rPr>
        <w:t>（1）（2）</w:t>
      </w:r>
      <w:r>
        <w:rPr>
          <w:rFonts w:hint="eastAsia" w:ascii="宋体" w:hAnsi="宋体" w:eastAsia="宋体" w:cs="宋体"/>
          <w:b/>
          <w:bCs w:val="0"/>
          <w:color w:val="auto"/>
          <w:sz w:val="24"/>
          <w:szCs w:val="24"/>
          <w:lang w:val="en-US" w:eastAsia="zh-CN"/>
        </w:rPr>
        <w:t>系统功能截图）</w:t>
      </w:r>
    </w:p>
    <w:p w14:paraId="673D2A02">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lang w:val="en-US"/>
        </w:rPr>
        <w:t>五防芯片适配对接服务</w:t>
      </w:r>
    </w:p>
    <w:p w14:paraId="2E5A6A10">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号50</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rPr>
        <w:t>投标人承诺如中标该项目</w:t>
      </w:r>
      <w:r>
        <w:rPr>
          <w:rFonts w:hint="eastAsia" w:ascii="宋体" w:hAnsi="宋体" w:eastAsia="宋体" w:cs="宋体"/>
          <w:b w:val="0"/>
          <w:bCs/>
          <w:color w:val="auto"/>
          <w:sz w:val="24"/>
          <w:szCs w:val="24"/>
          <w:lang w:val="en-US" w:eastAsia="zh-CN"/>
        </w:rPr>
        <w:t>，需</w:t>
      </w:r>
      <w:r>
        <w:rPr>
          <w:rFonts w:hint="eastAsia" w:ascii="宋体" w:hAnsi="宋体" w:eastAsia="宋体" w:cs="宋体"/>
          <w:b w:val="0"/>
          <w:bCs/>
          <w:color w:val="auto"/>
          <w:sz w:val="24"/>
          <w:szCs w:val="24"/>
          <w:lang w:val="en-US"/>
        </w:rPr>
        <w:t>负责五防芯片编码关联、质量核验、精准配送及售后保障，完成芯片与点位专属二维码的唯一编码绑定，实现“扫码、扫芯片均可调取全量核心数据”，确保芯片与二维码联动顺畅。</w:t>
      </w:r>
      <w:r>
        <w:rPr>
          <w:rFonts w:hint="eastAsia" w:ascii="宋体" w:hAnsi="宋体" w:eastAsia="宋体" w:cs="宋体"/>
          <w:b/>
          <w:bCs w:val="0"/>
          <w:color w:val="auto"/>
          <w:sz w:val="24"/>
          <w:szCs w:val="24"/>
        </w:rPr>
        <w:t>（须提供承诺函，格式自拟）</w:t>
      </w:r>
    </w:p>
    <w:p w14:paraId="0AE73F44">
      <w:pPr>
        <w:pStyle w:val="11"/>
        <w:ind w:firstLine="482" w:firstLineChars="200"/>
        <w:jc w:val="both"/>
        <w:outlineLvl w:val="2"/>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号51</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rPr>
        <w:t>投标人承诺如中标该项目</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需要提供</w:t>
      </w:r>
      <w:r>
        <w:rPr>
          <w:rFonts w:hint="eastAsia" w:ascii="宋体" w:hAnsi="宋体" w:eastAsia="宋体" w:cs="宋体"/>
          <w:b w:val="0"/>
          <w:bCs/>
          <w:color w:val="auto"/>
          <w:sz w:val="24"/>
          <w:szCs w:val="24"/>
          <w:lang w:val="en-US"/>
        </w:rPr>
        <w:t>芯片适配</w:t>
      </w:r>
      <w:r>
        <w:rPr>
          <w:rFonts w:hint="eastAsia" w:ascii="宋体" w:hAnsi="宋体" w:eastAsia="宋体" w:cs="宋体"/>
          <w:b w:val="0"/>
          <w:bCs/>
          <w:color w:val="auto"/>
          <w:sz w:val="24"/>
          <w:szCs w:val="24"/>
          <w:lang w:val="en-US" w:eastAsia="zh-CN"/>
        </w:rPr>
        <w:t>和后台租户管理模块</w:t>
      </w:r>
      <w:r>
        <w:rPr>
          <w:rFonts w:hint="eastAsia" w:ascii="宋体" w:hAnsi="宋体" w:eastAsia="宋体" w:cs="宋体"/>
          <w:b w:val="0"/>
          <w:bCs/>
          <w:color w:val="auto"/>
          <w:sz w:val="24"/>
          <w:szCs w:val="24"/>
          <w:lang w:val="en-US"/>
        </w:rPr>
        <w:t>：后台租户管理模块统一管控芯片采购、分配、激活台账，记录芯片编码、绑定点位、安装企业信息。</w:t>
      </w:r>
      <w:r>
        <w:rPr>
          <w:rFonts w:hint="eastAsia" w:ascii="宋体" w:hAnsi="宋体" w:eastAsia="宋体" w:cs="宋体"/>
          <w:b/>
          <w:bCs w:val="0"/>
          <w:color w:val="auto"/>
          <w:sz w:val="24"/>
          <w:szCs w:val="24"/>
        </w:rPr>
        <w:t>（须提供承诺函，格式自拟）</w:t>
      </w:r>
    </w:p>
    <w:p w14:paraId="3B62FE98">
      <w:pPr>
        <w:pStyle w:val="11"/>
        <w:ind w:firstLine="482" w:firstLineChars="200"/>
        <w:jc w:val="both"/>
        <w:outlineLvl w:val="2"/>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w:t>
      </w:r>
      <w:r>
        <w:rPr>
          <w:rFonts w:hint="eastAsia" w:ascii="宋体" w:hAnsi="宋体" w:cs="宋体"/>
          <w:b/>
          <w:bCs w:val="0"/>
          <w:color w:val="auto"/>
          <w:sz w:val="24"/>
          <w:szCs w:val="24"/>
          <w:lang w:val="en-US" w:eastAsia="zh-CN"/>
        </w:rPr>
        <w:t>2</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color w:val="auto"/>
          <w:sz w:val="24"/>
          <w:szCs w:val="24"/>
        </w:rPr>
        <w:t>投标人</w:t>
      </w:r>
      <w:r>
        <w:rPr>
          <w:rFonts w:hint="eastAsia" w:ascii="宋体" w:hAnsi="宋体" w:cs="宋体"/>
          <w:color w:val="auto"/>
          <w:sz w:val="24"/>
          <w:szCs w:val="24"/>
          <w:lang w:eastAsia="zh-CN"/>
        </w:rPr>
        <w:t>投入本项目的</w:t>
      </w:r>
      <w:r>
        <w:rPr>
          <w:rFonts w:hint="eastAsia" w:ascii="宋体" w:hAnsi="宋体" w:eastAsia="宋体" w:cs="宋体"/>
          <w:color w:val="auto"/>
          <w:sz w:val="24"/>
          <w:szCs w:val="24"/>
        </w:rPr>
        <w:t>芯片五防指标至少</w:t>
      </w:r>
      <w:r>
        <w:rPr>
          <w:rFonts w:hint="eastAsia" w:ascii="宋体" w:hAnsi="宋体" w:cs="宋体"/>
          <w:color w:val="auto"/>
          <w:sz w:val="24"/>
          <w:szCs w:val="24"/>
          <w:lang w:eastAsia="zh-CN"/>
        </w:rPr>
        <w:t>具备</w:t>
      </w:r>
      <w:r>
        <w:rPr>
          <w:rFonts w:hint="eastAsia" w:ascii="宋体" w:hAnsi="宋体" w:eastAsia="宋体" w:cs="宋体"/>
          <w:color w:val="auto"/>
          <w:sz w:val="24"/>
          <w:szCs w:val="24"/>
        </w:rPr>
        <w:t>防水、防尘、防腐蚀、防破坏或抗冲击、防篡改</w:t>
      </w:r>
      <w:r>
        <w:rPr>
          <w:rFonts w:hint="eastAsia" w:ascii="宋体" w:hAnsi="宋体" w:cs="宋体"/>
          <w:color w:val="auto"/>
          <w:sz w:val="24"/>
          <w:szCs w:val="24"/>
          <w:lang w:eastAsia="zh-CN"/>
        </w:rPr>
        <w:t>等功能</w:t>
      </w:r>
      <w:r>
        <w:rPr>
          <w:rFonts w:hint="eastAsia" w:ascii="宋体" w:hAnsi="宋体" w:eastAsia="宋体" w:cs="宋体"/>
          <w:color w:val="auto"/>
          <w:sz w:val="24"/>
          <w:szCs w:val="24"/>
        </w:rPr>
        <w:t>。</w:t>
      </w:r>
      <w:r>
        <w:rPr>
          <w:rFonts w:hint="eastAsia" w:ascii="宋体" w:hAnsi="宋体" w:eastAsia="宋体" w:cs="宋体"/>
          <w:b/>
          <w:bCs w:val="0"/>
          <w:color w:val="auto"/>
          <w:sz w:val="24"/>
          <w:szCs w:val="24"/>
        </w:rPr>
        <w:t>（须提供承诺函，格式自拟）</w:t>
      </w:r>
    </w:p>
    <w:p w14:paraId="1B7843CA">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w:t>
      </w:r>
      <w:r>
        <w:rPr>
          <w:rFonts w:hint="eastAsia" w:ascii="宋体" w:hAnsi="宋体" w:cs="宋体"/>
          <w:b/>
          <w:bCs w:val="0"/>
          <w:color w:val="auto"/>
          <w:sz w:val="24"/>
          <w:szCs w:val="24"/>
          <w:lang w:val="en-US" w:eastAsia="zh-CN"/>
        </w:rPr>
        <w:t>3</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lang w:val="en-US"/>
        </w:rPr>
        <w:t>多维度统计分析看板服务 系统内置可视化统计报表界面，覆盖监管端、企业端双维度指标：监管端覆盖点位纳管完成率、风险等级行业/区域分布、作业审批合规率、隐患整改闭环率、芯片安装激活率、检查计划完成率，支持柱状图、列表可视化展示，一键导出标准化监管报表；企业端提供自有点位风险分布、历史作业审批记录、隐患整改明细、检查完成情况数据；基于历史数据自动生成风险变化、合规率变化趋势，辅助监管部门制定专项整治、日常监管策略。</w:t>
      </w:r>
    </w:p>
    <w:p w14:paraId="5BBC639F">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w:t>
      </w:r>
      <w:r>
        <w:rPr>
          <w:rFonts w:hint="eastAsia" w:ascii="宋体" w:hAnsi="宋体" w:cs="宋体"/>
          <w:b/>
          <w:bCs w:val="0"/>
          <w:color w:val="auto"/>
          <w:sz w:val="24"/>
          <w:szCs w:val="24"/>
          <w:lang w:val="en-US" w:eastAsia="zh-CN"/>
        </w:rPr>
        <w:t>4</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lang w:val="en-US"/>
        </w:rPr>
        <w:t>审批数据追溯服务所有作业审批流程数据全程留痕，支持按企业、点位、时间、审批状态、作业人员多维度查询、筛选、批量导出审批记录，为监管执法、事故调查提供完整数据支撑。</w:t>
      </w:r>
    </w:p>
    <w:p w14:paraId="0FE854E1">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rPr>
        <w:t>（四）配套算力与实施服务</w:t>
      </w:r>
    </w:p>
    <w:p w14:paraId="79EFAD65">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w:t>
      </w:r>
      <w:r>
        <w:rPr>
          <w:rFonts w:hint="eastAsia" w:ascii="宋体" w:hAnsi="宋体" w:cs="宋体"/>
          <w:b/>
          <w:bCs w:val="0"/>
          <w:color w:val="auto"/>
          <w:sz w:val="24"/>
          <w:szCs w:val="24"/>
          <w:lang w:val="en-US" w:eastAsia="zh-CN"/>
        </w:rPr>
        <w:t>5</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1、支持服务围绕五防芯片采购落地核心需求，严格遵循 “现场粘贴1个+企业备份1个”的芯片配置标准、10万个风险点免费配送到指定位置的配送规则，为有限空间点位纳管、赋码、作业管控全流程提供算力支撑、物资采购、物流配送、技术落地、人员培训等全维度专属支撑，各服务项独立执行、流程闭环，所有算力、实施服务支撑平台全部前端、后台界面稳定运行。</w:t>
      </w:r>
    </w:p>
    <w:p w14:paraId="239CB5FA">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 xml:space="preserve">GPU 算力支撑服务 </w:t>
      </w:r>
    </w:p>
    <w:p w14:paraId="7E1DBEDF">
      <w:pPr>
        <w:pStyle w:val="11"/>
        <w:ind w:firstLine="482" w:firstLineChars="200"/>
        <w:jc w:val="both"/>
        <w:outlineLvl w:val="2"/>
        <w:rPr>
          <w:rFonts w:hint="eastAsia" w:ascii="宋体" w:hAnsi="宋体" w:eastAsia="宋体" w:cs="宋体"/>
          <w:b w:val="0"/>
          <w:bCs/>
          <w:color w:val="auto"/>
          <w:sz w:val="24"/>
          <w:szCs w:val="24"/>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投标人承诺如中标该项目</w:t>
      </w:r>
      <w:r>
        <w:rPr>
          <w:rFonts w:hint="eastAsia" w:ascii="宋体" w:hAnsi="宋体" w:eastAsia="宋体" w:cs="宋体"/>
          <w:b w:val="0"/>
          <w:bCs/>
          <w:color w:val="auto"/>
          <w:sz w:val="24"/>
          <w:szCs w:val="24"/>
          <w:lang w:val="en-US" w:eastAsia="zh-CN"/>
        </w:rPr>
        <w:t>，需提</w:t>
      </w:r>
      <w:r>
        <w:rPr>
          <w:rFonts w:hint="eastAsia" w:ascii="宋体" w:hAnsi="宋体" w:eastAsia="宋体" w:cs="宋体"/>
          <w:b w:val="0"/>
          <w:bCs/>
          <w:color w:val="auto"/>
          <w:sz w:val="24"/>
          <w:szCs w:val="24"/>
          <w:lang w:val="en-US"/>
        </w:rPr>
        <w:t>供满足福建省有限空间 “一险一码” 平台高性能、高可靠的互联网算力资源支撑（费用由中标</w:t>
      </w:r>
      <w:r>
        <w:rPr>
          <w:rFonts w:hint="eastAsia" w:ascii="宋体" w:hAnsi="宋体" w:eastAsia="宋体" w:cs="宋体"/>
          <w:b w:val="0"/>
          <w:bCs/>
          <w:color w:val="auto"/>
          <w:sz w:val="24"/>
          <w:szCs w:val="24"/>
          <w:lang w:val="en-US" w:eastAsia="zh-CN"/>
        </w:rPr>
        <w:t>人</w:t>
      </w:r>
      <w:r>
        <w:rPr>
          <w:rFonts w:hint="eastAsia" w:ascii="宋体" w:hAnsi="宋体" w:eastAsia="宋体" w:cs="宋体"/>
          <w:b w:val="0"/>
          <w:bCs/>
          <w:color w:val="auto"/>
          <w:sz w:val="24"/>
          <w:szCs w:val="24"/>
          <w:lang w:val="en-US"/>
        </w:rPr>
        <w:t>支付），重点保障10万个有限空间风险点位专属二维码唯一编码绑定、AI 风险预测模型批量运算、五防芯片与平台数据实时联动等算力密集型功能稳定运行，全面适配点位初始化安装激活、常态化作业管控全业务周期需求，确保算力调度无拥堵、模型运算高效、业务响应及时。GPU 算力覆盖AI风险辨识批量计算、知识库全文检索、AI问答自然语言推理、数万点位批量赋码运算、告知牌批量生成渲染。</w:t>
      </w:r>
      <w:r>
        <w:rPr>
          <w:rFonts w:hint="eastAsia" w:ascii="宋体" w:hAnsi="宋体" w:eastAsia="宋体" w:cs="宋体"/>
          <w:b/>
          <w:bCs w:val="0"/>
          <w:color w:val="auto"/>
          <w:sz w:val="24"/>
          <w:szCs w:val="24"/>
        </w:rPr>
        <w:t>（须提供承诺函，格式自拟）</w:t>
      </w:r>
    </w:p>
    <w:p w14:paraId="6064C3DD">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 xml:space="preserve">CPU 算力支撑服务 </w:t>
      </w:r>
    </w:p>
    <w:p w14:paraId="63C08999">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投标人承诺如中标该项目</w:t>
      </w:r>
      <w:r>
        <w:rPr>
          <w:rFonts w:hint="eastAsia" w:ascii="宋体" w:hAnsi="宋体" w:eastAsia="宋体" w:cs="宋体"/>
          <w:b w:val="0"/>
          <w:bCs/>
          <w:color w:val="auto"/>
          <w:sz w:val="24"/>
          <w:szCs w:val="24"/>
          <w:lang w:val="en-US" w:eastAsia="zh-CN"/>
        </w:rPr>
        <w:t>，需</w:t>
      </w:r>
      <w:r>
        <w:rPr>
          <w:rFonts w:hint="eastAsia" w:ascii="宋体" w:hAnsi="宋体" w:eastAsia="宋体" w:cs="宋体"/>
          <w:b w:val="0"/>
          <w:bCs/>
          <w:color w:val="auto"/>
          <w:sz w:val="24"/>
          <w:szCs w:val="24"/>
          <w:lang w:val="en-US"/>
        </w:rPr>
        <w:t>提供满足福建省有限空间 “一险一码” 平台全业务流程稳定、安全、合规的互联网应用服务及存储服务资源（费用由中标</w:t>
      </w:r>
      <w:r>
        <w:rPr>
          <w:rFonts w:hint="eastAsia" w:ascii="宋体" w:hAnsi="宋体" w:eastAsia="宋体" w:cs="宋体"/>
          <w:b w:val="0"/>
          <w:bCs/>
          <w:color w:val="auto"/>
          <w:sz w:val="24"/>
          <w:szCs w:val="24"/>
          <w:lang w:val="en-US" w:eastAsia="zh-CN"/>
        </w:rPr>
        <w:t>人</w:t>
      </w:r>
      <w:r>
        <w:rPr>
          <w:rFonts w:hint="eastAsia" w:ascii="宋体" w:hAnsi="宋体" w:eastAsia="宋体" w:cs="宋体"/>
          <w:b w:val="0"/>
          <w:bCs/>
          <w:color w:val="auto"/>
          <w:sz w:val="24"/>
          <w:szCs w:val="24"/>
          <w:lang w:val="en-US"/>
        </w:rPr>
        <w:t>支付），全面覆盖10万个风险点位全生命周期管理、20 万枚五防芯片绑定激活、点位纳管建档、作业审批流转、风险赋码管控、政务平台对接、全量业务数据存储备份、监管统计分析等核心业务场景，保障平台初始化安装激活与常态化作业全周期稳定、高效、安全运行。CPU 算力覆盖全部</w:t>
      </w:r>
      <w:r>
        <w:rPr>
          <w:rFonts w:hint="eastAsia" w:ascii="宋体" w:hAnsi="宋体" w:eastAsia="宋体" w:cs="宋体"/>
          <w:b w:val="0"/>
          <w:bCs/>
          <w:color w:val="auto"/>
          <w:sz w:val="24"/>
          <w:szCs w:val="24"/>
          <w:lang w:val="en-US" w:eastAsia="zh-CN"/>
        </w:rPr>
        <w:t>Web</w:t>
      </w:r>
      <w:r>
        <w:rPr>
          <w:rFonts w:hint="eastAsia" w:ascii="宋体" w:hAnsi="宋体" w:eastAsia="宋体" w:cs="宋体"/>
          <w:b w:val="0"/>
          <w:bCs/>
          <w:color w:val="auto"/>
          <w:sz w:val="24"/>
          <w:szCs w:val="24"/>
          <w:lang w:val="en-US"/>
        </w:rPr>
        <w:t>前端页面访问、后台台账管理、订单管理、权限管理、隐患流转、检查计划、企业管理等通用业务。</w:t>
      </w:r>
      <w:r>
        <w:rPr>
          <w:rFonts w:hint="eastAsia" w:ascii="宋体" w:hAnsi="宋体" w:eastAsia="宋体" w:cs="宋体"/>
          <w:b/>
          <w:bCs w:val="0"/>
          <w:color w:val="auto"/>
          <w:sz w:val="24"/>
          <w:szCs w:val="24"/>
        </w:rPr>
        <w:t>（须提供承诺函，格式自拟）</w:t>
      </w:r>
    </w:p>
    <w:p w14:paraId="633D4EFD">
      <w:pPr>
        <w:pStyle w:val="11"/>
        <w:ind w:firstLine="480" w:firstLineChars="200"/>
        <w:jc w:val="both"/>
        <w:outlineLvl w:val="2"/>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lang w:val="en-US"/>
        </w:rPr>
        <w:t>五防芯片采购服务</w:t>
      </w:r>
    </w:p>
    <w:p w14:paraId="5250D0F8">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w:t>
      </w:r>
      <w:r>
        <w:rPr>
          <w:rFonts w:hint="eastAsia" w:ascii="宋体" w:hAnsi="宋体" w:eastAsia="宋体" w:cs="宋体"/>
          <w:b/>
          <w:bCs w:val="0"/>
          <w:color w:val="auto"/>
          <w:sz w:val="24"/>
          <w:szCs w:val="24"/>
          <w:lang w:val="en-US" w:eastAsia="zh-CN"/>
        </w:rPr>
        <w:t>号5</w:t>
      </w:r>
      <w:r>
        <w:rPr>
          <w:rFonts w:hint="eastAsia" w:ascii="宋体" w:hAnsi="宋体" w:cs="宋体"/>
          <w:b/>
          <w:bCs w:val="0"/>
          <w:color w:val="auto"/>
          <w:sz w:val="24"/>
          <w:szCs w:val="24"/>
          <w:lang w:val="en-US" w:eastAsia="zh-CN"/>
        </w:rPr>
        <w:t>8</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rPr>
        <w:t>投标人承诺如中标该项目</w:t>
      </w:r>
      <w:r>
        <w:rPr>
          <w:rFonts w:hint="eastAsia" w:ascii="宋体" w:hAnsi="宋体" w:eastAsia="宋体" w:cs="宋体"/>
          <w:b w:val="0"/>
          <w:bCs/>
          <w:color w:val="auto"/>
          <w:sz w:val="24"/>
          <w:szCs w:val="24"/>
          <w:lang w:val="en-US" w:eastAsia="zh-CN"/>
        </w:rPr>
        <w:t>，需</w:t>
      </w:r>
      <w:r>
        <w:rPr>
          <w:rFonts w:hint="eastAsia" w:ascii="宋体" w:hAnsi="宋体" w:eastAsia="宋体" w:cs="宋体"/>
          <w:b w:val="0"/>
          <w:bCs/>
          <w:color w:val="auto"/>
          <w:sz w:val="24"/>
          <w:szCs w:val="24"/>
          <w:lang w:val="en-US"/>
        </w:rPr>
        <w:t>负责全品类五防芯片的标准化采购工作，结合福建省有限空间点位的风险等级、行业类型及现场基础环境，匹配适配性芯片型号，简化选型维度，聚焦核心使用需求控制采购成本；建立简洁可落地的芯片采购质量核验标准，对芯片核心性能、编码唯一性、加密安全性开展关键指标检测，确保采购芯片符合平台对接要求及现场基础使用需求；搭建简易化芯片库存管理体系，实现采购、入库、出库的基础管控，保障各区域点位纳管时芯片供应充足。 标准化选型与品控：针对不同行业、不同环境点位适配差异化芯片，化工高腐蚀环境选用高防腐等级芯片，户外地下点位选用耐高低温、防水芯片；建立全流程质量管控体系，不合格产品全部退回。</w:t>
      </w:r>
      <w:r>
        <w:rPr>
          <w:rFonts w:hint="eastAsia" w:ascii="宋体" w:hAnsi="宋体" w:eastAsia="宋体" w:cs="宋体"/>
          <w:b/>
          <w:bCs w:val="0"/>
          <w:color w:val="auto"/>
          <w:sz w:val="24"/>
          <w:szCs w:val="24"/>
        </w:rPr>
        <w:t>（须提供承诺函，格式自拟）</w:t>
      </w:r>
    </w:p>
    <w:p w14:paraId="70C8C995">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5</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建立芯片交付台账管理：建立芯片电子台账，根据全省点位纳管进度动态调整采购计划，保障芯片供应充足，不影响点位纳管落地进度。</w:t>
      </w:r>
    </w:p>
    <w:p w14:paraId="0E91346A">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cs="宋体"/>
          <w:b/>
          <w:bCs w:val="0"/>
          <w:color w:val="auto"/>
          <w:sz w:val="24"/>
          <w:szCs w:val="24"/>
          <w:lang w:val="en-US" w:eastAsia="zh-CN"/>
        </w:rPr>
        <w:t>60</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芯片邮递配送服务 搭建低成本、高效率的芯片专属邮递配送体系，依托省内物流资源，根据企业点位区域分布、点位数量集中度制定批量配送方案，实现芯片从仓储点到企业现场作业点位的精准投递；建立快速售后保障机制，针对快递破损、错发、漏发问题明确补发流程与时限，控制成本前提下保障芯片及时送达，不影响现场安装进度。</w:t>
      </w:r>
    </w:p>
    <w:p w14:paraId="0CE9BC22">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lang w:val="en-US"/>
        </w:rPr>
        <w:t xml:space="preserve">企业人员分层分类培训服务 </w:t>
      </w:r>
    </w:p>
    <w:p w14:paraId="0BFA3703">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1</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为企业安全管理人员、一线作业人员、属地监管人员提供全流程实操培训，培训内容完全匹配平台全部界面操作功能，培训形式包含线上课程、线下现场实操、一对一远程指导，确保各角色熟练掌握系统操作。</w:t>
      </w:r>
    </w:p>
    <w:p w14:paraId="3A81A873">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2</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（2）①</w:t>
      </w:r>
      <w:r>
        <w:rPr>
          <w:rFonts w:hint="eastAsia" w:ascii="宋体" w:hAnsi="宋体" w:eastAsia="宋体" w:cs="宋体"/>
          <w:b w:val="0"/>
          <w:bCs/>
          <w:color w:val="auto"/>
          <w:sz w:val="24"/>
          <w:szCs w:val="24"/>
          <w:lang w:val="en-US"/>
        </w:rPr>
        <w:t>分层分类培训体系：监管人员重点培训点位台账查询、隐患核查处置、风险研判、统计报表导出、执法辅助功能操作；企业管理员重点培训点位纳管填报、AI 风险辨识、风险告知牌制作、定期检查计划配置、隐患整改闭环管理、订单管理；一线作业人员重点培训现场扫码发起作业审批、扫码上报隐患、扫码查看风险告知、查阅气体检测规范；</w:t>
      </w:r>
      <w:r>
        <w:rPr>
          <w:rFonts w:hint="eastAsia" w:ascii="宋体" w:hAnsi="宋体" w:eastAsia="宋体" w:cs="宋体"/>
          <w:b w:val="0"/>
          <w:bCs/>
          <w:color w:val="auto"/>
          <w:sz w:val="24"/>
          <w:szCs w:val="24"/>
          <w:lang w:val="en-US" w:eastAsia="zh-CN"/>
        </w:rPr>
        <w:t>②</w:t>
      </w:r>
      <w:r>
        <w:rPr>
          <w:rFonts w:hint="eastAsia" w:ascii="宋体" w:hAnsi="宋体" w:eastAsia="宋体" w:cs="宋体"/>
          <w:b w:val="0"/>
          <w:bCs/>
          <w:color w:val="auto"/>
          <w:sz w:val="24"/>
          <w:szCs w:val="24"/>
          <w:lang w:val="en-US"/>
        </w:rPr>
        <w:t>配套培训载体：系统内置知识库操作教程、AI 问答实时在线答疑、芯片上门安装同步实操教学。</w:t>
      </w:r>
    </w:p>
    <w:p w14:paraId="01A8FC20">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lang w:val="en-US"/>
        </w:rPr>
        <w:t xml:space="preserve">数据统计分析服务 </w:t>
      </w:r>
    </w:p>
    <w:p w14:paraId="2E5F3F92">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3</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rPr>
        <w:t xml:space="preserve">为政府监管部门提供点位管控覆盖率、审批合规率、隐患整改率等多维度统计分析数据，支持数据可视化展示、报表导出，为监管决策提供支撑，全部统计指标在平台统计看板界面可视化呈现。 </w:t>
      </w:r>
    </w:p>
    <w:p w14:paraId="72A9BF03">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4</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 xml:space="preserve">多维度指标体系：监管端覆盖点位纳管完成率、风险等级分布、行业/区域分布、作业审批合规率、隐患整改闭环率、预警处置及时率、芯片安装激活率等核心指标；企业端提供自有点位风险分布、作业记录、隐患整改、人员培训等统计数据。 </w:t>
      </w:r>
    </w:p>
    <w:p w14:paraId="66AAE4A6">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5</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可视化与报表能力：通过柱状图、列表等形式直观展示统计结果，支持监管驾驶舱、企业管理看板定制化展示；支持标准化报表自动生成、一键导出，满足监管汇报、专项整治、日常管理统计需求。</w:t>
      </w:r>
    </w:p>
    <w:p w14:paraId="5067FEB2">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6</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趋势研判支撑：基于历史数据开展风险趋势、合规性趋势分析，为监管部门制定监管策略、开展专项整治提供数据支撑。</w:t>
      </w:r>
    </w:p>
    <w:p w14:paraId="57042209">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7、</w:t>
      </w:r>
      <w:r>
        <w:rPr>
          <w:rFonts w:hint="eastAsia" w:ascii="宋体" w:hAnsi="宋体" w:eastAsia="宋体" w:cs="宋体"/>
          <w:b w:val="0"/>
          <w:bCs/>
          <w:color w:val="auto"/>
          <w:sz w:val="24"/>
          <w:szCs w:val="24"/>
          <w:lang w:val="en-US"/>
        </w:rPr>
        <w:t xml:space="preserve">芯片现场安装激活服务 </w:t>
      </w:r>
    </w:p>
    <w:p w14:paraId="38A18CEB">
      <w:pPr>
        <w:pStyle w:val="11"/>
        <w:ind w:firstLine="482" w:firstLineChars="200"/>
        <w:jc w:val="both"/>
        <w:outlineLvl w:val="2"/>
        <w:rPr>
          <w:color w:val="auto"/>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rPr>
        <w:t>投标人</w:t>
      </w:r>
      <w:r>
        <w:rPr>
          <w:rFonts w:hint="eastAsia" w:ascii="宋体" w:hAnsi="宋体" w:eastAsia="宋体" w:cs="宋体"/>
          <w:b w:val="0"/>
          <w:bCs/>
          <w:color w:val="auto"/>
          <w:sz w:val="24"/>
          <w:szCs w:val="24"/>
          <w:lang w:val="en-US" w:eastAsia="zh-CN"/>
        </w:rPr>
        <w:t>承诺，</w:t>
      </w:r>
      <w:r>
        <w:rPr>
          <w:rFonts w:hint="eastAsia" w:ascii="宋体" w:hAnsi="宋体" w:eastAsia="宋体" w:cs="宋体"/>
          <w:b w:val="0"/>
          <w:bCs/>
          <w:color w:val="auto"/>
          <w:sz w:val="24"/>
          <w:szCs w:val="24"/>
          <w:lang w:val="en-US"/>
        </w:rPr>
        <w:t>如中标该项目</w:t>
      </w:r>
      <w:r>
        <w:rPr>
          <w:rFonts w:hint="eastAsia" w:ascii="宋体" w:hAnsi="宋体" w:eastAsia="宋体" w:cs="宋体"/>
          <w:b w:val="0"/>
          <w:bCs/>
          <w:color w:val="auto"/>
          <w:sz w:val="24"/>
          <w:szCs w:val="24"/>
          <w:lang w:val="en-US" w:eastAsia="zh-CN"/>
        </w:rPr>
        <w:t>，需要提供对应的车辆和人员进行现场安装激活，支持提交安装作业指导书、现场安全交底、人员资质或能力证明、保险安排、替补人员机制和工单流程。安装前应核对点位和载体编号，安装后应完成扫码、绑定、权限及数据同步测试并留存记录。涉及进入有限空间或其他高风险作业的，应依法履行作业审批、监护、检测、通风和应急要求。投标人</w:t>
      </w:r>
      <w:r>
        <w:rPr>
          <w:rFonts w:hint="eastAsia" w:ascii="宋体" w:hAnsi="宋体" w:eastAsia="宋体" w:cs="宋体"/>
          <w:b w:val="0"/>
          <w:bCs/>
          <w:color w:val="auto"/>
          <w:sz w:val="24"/>
          <w:szCs w:val="24"/>
          <w:lang w:val="en-US"/>
        </w:rPr>
        <w:t>在</w:t>
      </w:r>
      <w:r>
        <w:rPr>
          <w:rFonts w:hint="eastAsia" w:ascii="宋体" w:hAnsi="宋体" w:eastAsia="宋体" w:cs="宋体"/>
          <w:b w:val="0"/>
          <w:bCs/>
          <w:color w:val="auto"/>
          <w:sz w:val="24"/>
          <w:szCs w:val="24"/>
          <w:lang w:val="en-US" w:eastAsia="zh-CN"/>
        </w:rPr>
        <w:t>对应</w:t>
      </w:r>
      <w:r>
        <w:rPr>
          <w:rFonts w:hint="eastAsia" w:ascii="宋体" w:hAnsi="宋体" w:eastAsia="宋体" w:cs="宋体"/>
          <w:b w:val="0"/>
          <w:bCs/>
          <w:color w:val="auto"/>
          <w:sz w:val="24"/>
          <w:szCs w:val="24"/>
          <w:lang w:val="en-US"/>
        </w:rPr>
        <w:t>车辆配置上，应满足以下基本要求：车辆（配备行车记录仪）通常每</w:t>
      </w:r>
      <w:r>
        <w:rPr>
          <w:rFonts w:hint="eastAsia" w:ascii="宋体" w:hAnsi="宋体" w:eastAsia="宋体" w:cs="宋体"/>
          <w:b w:val="0"/>
          <w:bCs/>
          <w:color w:val="auto"/>
          <w:sz w:val="24"/>
          <w:szCs w:val="24"/>
          <w:lang w:val="en-US" w:eastAsia="zh-CN"/>
        </w:rPr>
        <w:t>地市</w:t>
      </w:r>
      <w:r>
        <w:rPr>
          <w:rFonts w:hint="eastAsia" w:ascii="宋体" w:hAnsi="宋体" w:eastAsia="宋体" w:cs="宋体"/>
          <w:b w:val="0"/>
          <w:bCs/>
          <w:color w:val="auto"/>
          <w:sz w:val="24"/>
          <w:szCs w:val="24"/>
          <w:lang w:val="en-US"/>
        </w:rPr>
        <w:t>配备1</w:t>
      </w:r>
      <w:r>
        <w:rPr>
          <w:rFonts w:hint="eastAsia" w:ascii="宋体" w:hAnsi="宋体" w:cs="宋体"/>
          <w:b w:val="0"/>
          <w:bCs/>
          <w:color w:val="auto"/>
          <w:sz w:val="24"/>
          <w:szCs w:val="24"/>
          <w:lang w:val="en-US" w:eastAsia="zh-CN"/>
        </w:rPr>
        <w:t>辆</w:t>
      </w:r>
      <w:r>
        <w:rPr>
          <w:rFonts w:hint="eastAsia" w:ascii="宋体" w:hAnsi="宋体" w:eastAsia="宋体" w:cs="宋体"/>
          <w:b w:val="0"/>
          <w:bCs/>
          <w:color w:val="auto"/>
          <w:sz w:val="24"/>
          <w:szCs w:val="24"/>
          <w:lang w:val="en-US"/>
        </w:rPr>
        <w:t>（可结合实际情况调整）</w:t>
      </w:r>
      <w:r>
        <w:rPr>
          <w:rFonts w:hint="eastAsia" w:ascii="宋体" w:hAnsi="宋体" w:cs="宋体"/>
          <w:b w:val="0"/>
          <w:bCs/>
          <w:color w:val="auto"/>
          <w:sz w:val="24"/>
          <w:szCs w:val="24"/>
          <w:lang w:val="en-US" w:eastAsia="zh-CN"/>
        </w:rPr>
        <w:t>。</w:t>
      </w:r>
      <w:r>
        <w:rPr>
          <w:rFonts w:hint="eastAsia" w:ascii="宋体" w:hAnsi="宋体" w:eastAsia="宋体" w:cs="宋体"/>
          <w:b/>
          <w:bCs w:val="0"/>
          <w:color w:val="auto"/>
          <w:sz w:val="24"/>
          <w:szCs w:val="24"/>
        </w:rPr>
        <w:t>（须提供承诺函，格式自拟）</w:t>
      </w:r>
    </w:p>
    <w:p w14:paraId="50161DA2">
      <w:pPr>
        <w:pStyle w:val="11"/>
        <w:ind w:firstLine="480"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val="0"/>
          <w:bCs/>
          <w:color w:val="auto"/>
          <w:sz w:val="24"/>
          <w:szCs w:val="24"/>
          <w:lang w:val="en-US" w:eastAsia="zh-CN"/>
        </w:rPr>
        <w:t>8、</w:t>
      </w:r>
      <w:r>
        <w:rPr>
          <w:rFonts w:hint="eastAsia" w:ascii="宋体" w:hAnsi="宋体" w:eastAsia="宋体" w:cs="宋体"/>
          <w:b w:val="0"/>
          <w:bCs/>
          <w:color w:val="auto"/>
          <w:sz w:val="24"/>
          <w:szCs w:val="24"/>
          <w:lang w:val="en-US"/>
        </w:rPr>
        <w:t xml:space="preserve">拓展纳管支撑服务 </w:t>
      </w:r>
    </w:p>
    <w:p w14:paraId="75FA636D">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8</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 xml:space="preserve">依托现有建档、赋码、管控全流程体系，为后续新增风险点位提供快速纳管、风险辨识、赋码及管控支撑，无需额外开发核心系统模块。全流程快速适配：新增点位仅需完成基础信息采集，即可快速完成核验、AI 风险辨识、专属赋码、芯片适配、作业审批全流程上线，无需调整核心系统架构。 </w:t>
      </w:r>
    </w:p>
    <w:p w14:paraId="6DC07BAB">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6</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批量纳管能力：可平滑支撑数万级新增点位批量纳管，系统性能、业务流程无缝适配。</w:t>
      </w:r>
    </w:p>
    <w:p w14:paraId="2D78BB87">
      <w:pPr>
        <w:pStyle w:val="11"/>
        <w:ind w:firstLine="480" w:firstLineChars="200"/>
        <w:jc w:val="both"/>
        <w:outlineLvl w:val="2"/>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rPr>
        <w:t>（</w:t>
      </w:r>
      <w:r>
        <w:rPr>
          <w:rFonts w:hint="eastAsia" w:ascii="宋体" w:hAnsi="宋体" w:eastAsia="宋体" w:cs="宋体"/>
          <w:b w:val="0"/>
          <w:bCs/>
          <w:color w:val="auto"/>
          <w:sz w:val="24"/>
          <w:szCs w:val="24"/>
          <w:lang w:val="en-US" w:eastAsia="zh-CN"/>
        </w:rPr>
        <w:t>五</w:t>
      </w:r>
      <w:r>
        <w:rPr>
          <w:rFonts w:hint="eastAsia" w:ascii="宋体" w:hAnsi="宋体" w:eastAsia="宋体" w:cs="宋体"/>
          <w:b w:val="0"/>
          <w:bCs/>
          <w:color w:val="auto"/>
          <w:sz w:val="24"/>
          <w:szCs w:val="24"/>
          <w:lang w:val="en-US"/>
        </w:rPr>
        <w:t>）配套拓展功能要求</w:t>
      </w:r>
      <w:r>
        <w:rPr>
          <w:rFonts w:hint="eastAsia" w:ascii="宋体" w:hAnsi="宋体" w:eastAsia="宋体" w:cs="宋体"/>
          <w:b w:val="0"/>
          <w:bCs/>
          <w:color w:val="auto"/>
          <w:sz w:val="24"/>
          <w:szCs w:val="24"/>
          <w:lang w:val="en-US" w:eastAsia="zh-CN"/>
        </w:rPr>
        <w:t xml:space="preserve"> </w:t>
      </w:r>
    </w:p>
    <w:p w14:paraId="035C4538">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cs="宋体"/>
          <w:b/>
          <w:bCs w:val="0"/>
          <w:color w:val="auto"/>
          <w:sz w:val="24"/>
          <w:szCs w:val="24"/>
          <w:lang w:val="en-US" w:eastAsia="zh-CN"/>
        </w:rPr>
        <w:t>70</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1、</w:t>
      </w:r>
      <w:r>
        <w:rPr>
          <w:rFonts w:hint="eastAsia" w:ascii="宋体" w:hAnsi="宋体" w:eastAsia="宋体" w:cs="宋体"/>
          <w:b w:val="0"/>
          <w:bCs/>
          <w:color w:val="auto"/>
          <w:sz w:val="24"/>
          <w:szCs w:val="24"/>
          <w:lang w:val="en-US"/>
        </w:rPr>
        <w:t>安全警示标志素材管理模块：后台独立配置安全警示标志管理界面，内置全套国标安全警示图标库（当心中毒、火灾、爆炸、腐蚀、坍塌、触电、生物危害等140+类标识）；支持图标预览、筛选、下载，制作风险告知牌可直接选用；后台支持新增、上传自定义警示图标素材，统一规范企业现场安全标识使用标准。</w:t>
      </w:r>
      <w:r>
        <w:rPr>
          <w:rFonts w:hint="eastAsia" w:ascii="宋体" w:hAnsi="宋体" w:eastAsia="宋体" w:cs="宋体"/>
          <w:b/>
          <w:bCs w:val="0"/>
          <w:color w:val="auto"/>
          <w:sz w:val="24"/>
          <w:szCs w:val="24"/>
          <w:lang w:val="en-US" w:eastAsia="zh-CN"/>
        </w:rPr>
        <w:t>（须提供系统功能截图）</w:t>
      </w:r>
    </w:p>
    <w:p w14:paraId="6E4673F2">
      <w:pPr>
        <w:pStyle w:val="11"/>
        <w:ind w:firstLine="482" w:firstLineChars="200"/>
        <w:jc w:val="both"/>
        <w:outlineLvl w:val="2"/>
        <w:rPr>
          <w:rFonts w:hint="eastAsia" w:ascii="宋体" w:hAnsi="宋体" w:eastAsia="宋体" w:cs="宋体"/>
          <w:b/>
          <w:bCs w:val="0"/>
          <w:color w:val="auto"/>
          <w:sz w:val="24"/>
          <w:szCs w:val="24"/>
          <w:lang w:val="en-US" w:eastAsia="zh-CN"/>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7</w:t>
      </w:r>
      <w:r>
        <w:rPr>
          <w:rFonts w:hint="eastAsia" w:ascii="宋体" w:hAnsi="宋体" w:cs="宋体"/>
          <w:b/>
          <w:bCs w:val="0"/>
          <w:color w:val="auto"/>
          <w:sz w:val="24"/>
          <w:szCs w:val="24"/>
          <w:lang w:val="en-US" w:eastAsia="zh-CN"/>
        </w:rPr>
        <w:t>1</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lang w:val="en-US"/>
        </w:rPr>
        <w:t>AI 智能交互问答配套功能：平台内置自然语言安全法规问答模块，可自主检索有限空间、工贸行业法律法规、国标规范并输出权威答复，满足安全生产专业知识智能问答、法规标准库检索、风险智能识别方案生成三项核心能力要求，需提供系统操作界面截图佐证。</w:t>
      </w:r>
      <w:r>
        <w:rPr>
          <w:rFonts w:hint="eastAsia" w:ascii="宋体" w:hAnsi="宋体" w:eastAsia="宋体" w:cs="宋体"/>
          <w:b/>
          <w:bCs w:val="0"/>
          <w:color w:val="auto"/>
          <w:sz w:val="24"/>
          <w:szCs w:val="24"/>
          <w:lang w:val="en-US" w:eastAsia="zh-CN"/>
        </w:rPr>
        <w:t>（须提供系统功能截图）</w:t>
      </w:r>
    </w:p>
    <w:p w14:paraId="59679B71">
      <w:pPr>
        <w:pStyle w:val="11"/>
        <w:ind w:firstLine="482" w:firstLineChars="200"/>
        <w:jc w:val="both"/>
        <w:outlineLvl w:val="2"/>
        <w:rPr>
          <w:rFonts w:hint="eastAsia" w:ascii="宋体" w:hAnsi="宋体" w:eastAsia="宋体" w:cs="宋体"/>
          <w:b w:val="0"/>
          <w:bCs/>
          <w:color w:val="auto"/>
          <w:sz w:val="24"/>
          <w:szCs w:val="24"/>
          <w:lang w:val="en-US"/>
        </w:rPr>
      </w:pPr>
      <w:r>
        <w:rPr>
          <w:rFonts w:hint="eastAsia" w:ascii="宋体" w:hAnsi="宋体" w:eastAsia="宋体" w:cs="宋体"/>
          <w:b/>
          <w:bCs w:val="0"/>
          <w:color w:val="auto"/>
          <w:sz w:val="24"/>
          <w:szCs w:val="24"/>
          <w:lang w:val="en-US"/>
        </w:rPr>
        <w:t>（项号</w:t>
      </w:r>
      <w:r>
        <w:rPr>
          <w:rFonts w:hint="eastAsia" w:ascii="宋体" w:hAnsi="宋体" w:eastAsia="宋体" w:cs="宋体"/>
          <w:b/>
          <w:bCs w:val="0"/>
          <w:color w:val="auto"/>
          <w:sz w:val="24"/>
          <w:szCs w:val="24"/>
          <w:lang w:val="en-US" w:eastAsia="zh-CN"/>
        </w:rPr>
        <w:t>7</w:t>
      </w:r>
      <w:r>
        <w:rPr>
          <w:rFonts w:hint="eastAsia" w:ascii="宋体" w:hAnsi="宋体" w:cs="宋体"/>
          <w:b/>
          <w:bCs w:val="0"/>
          <w:color w:val="auto"/>
          <w:sz w:val="24"/>
          <w:szCs w:val="24"/>
          <w:lang w:val="en-US" w:eastAsia="zh-CN"/>
        </w:rPr>
        <w:t>2</w:t>
      </w:r>
      <w:r>
        <w:rPr>
          <w:rFonts w:hint="eastAsia" w:ascii="宋体" w:hAnsi="宋体" w:eastAsia="宋体" w:cs="宋体"/>
          <w:b/>
          <w:bCs w:val="0"/>
          <w:color w:val="auto"/>
          <w:sz w:val="24"/>
          <w:szCs w:val="24"/>
          <w:lang w:val="en-US"/>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lang w:val="en-US"/>
        </w:rPr>
        <w:t>全后台分级管理配套模块：完整交付租户管理、岗位角色管理、菜单权限管理、企业名录管理四大后台可视化界面，数据隔离、精细化账号功能权限分配，保障全省多主体、多账号安全稳定使用平台，需提供后台操作截图佐证全部管理功能。</w:t>
      </w:r>
      <w:r>
        <w:rPr>
          <w:rFonts w:hint="eastAsia" w:ascii="宋体" w:hAnsi="宋体" w:eastAsia="宋体" w:cs="宋体"/>
          <w:b/>
          <w:bCs w:val="0"/>
          <w:color w:val="auto"/>
          <w:sz w:val="24"/>
          <w:szCs w:val="24"/>
          <w:lang w:val="en-US" w:eastAsia="zh-CN"/>
        </w:rPr>
        <w:t>（须提供系统功能截图</w:t>
      </w:r>
      <w:r>
        <w:rPr>
          <w:rFonts w:hint="eastAsia" w:ascii="宋体" w:hAnsi="宋体" w:eastAsia="宋体" w:cs="宋体"/>
          <w:b w:val="0"/>
          <w:bCs/>
          <w:color w:val="auto"/>
          <w:sz w:val="24"/>
          <w:szCs w:val="24"/>
          <w:lang w:val="en-US" w:eastAsia="zh-CN"/>
        </w:rPr>
        <w:t>）</w:t>
      </w:r>
    </w:p>
    <w:p w14:paraId="4A866B56">
      <w:pPr>
        <w:pStyle w:val="11"/>
        <w:ind w:firstLine="482" w:firstLineChars="200"/>
        <w:jc w:val="both"/>
        <w:outlineLvl w:val="2"/>
        <w:rPr>
          <w:rFonts w:hint="eastAsia" w:ascii="宋体" w:hAnsi="宋体" w:eastAsia="宋体" w:cs="宋体"/>
          <w:b/>
          <w:color w:val="auto"/>
          <w:sz w:val="24"/>
          <w:szCs w:val="24"/>
        </w:rPr>
      </w:pPr>
      <w:r>
        <w:rPr>
          <w:rFonts w:hint="eastAsia" w:ascii="宋体" w:hAnsi="宋体" w:eastAsia="宋体" w:cs="宋体"/>
          <w:b/>
          <w:color w:val="auto"/>
          <w:sz w:val="24"/>
          <w:szCs w:val="24"/>
        </w:rPr>
        <w:t>★</w:t>
      </w:r>
      <w:r>
        <w:rPr>
          <w:rFonts w:hint="eastAsia" w:ascii="宋体" w:hAnsi="宋体" w:cs="宋体"/>
          <w:color w:val="auto"/>
          <w:sz w:val="24"/>
          <w:szCs w:val="24"/>
          <w:highlight w:val="none"/>
          <w:lang w:eastAsia="zh-CN"/>
        </w:rPr>
        <w:t>（六）</w:t>
      </w:r>
      <w:r>
        <w:rPr>
          <w:rFonts w:hint="eastAsia" w:ascii="宋体" w:hAnsi="宋体" w:eastAsia="宋体" w:cs="宋体"/>
          <w:color w:val="auto"/>
          <w:sz w:val="24"/>
          <w:szCs w:val="24"/>
          <w:highlight w:val="none"/>
        </w:rPr>
        <w:t>在本项目运维期内，中标人须承诺安排至少1名运维人员常驻现场提供驻点维护服务，驻场时间5*8小时。同时，中标人须组建专门的技术支撑团队，团队成员至少包括：项目经理1人、</w:t>
      </w:r>
      <w:r>
        <w:rPr>
          <w:rFonts w:hint="eastAsia" w:ascii="宋体" w:hAnsi="宋体" w:eastAsia="宋体" w:cs="宋体"/>
          <w:color w:val="auto"/>
          <w:sz w:val="24"/>
          <w:szCs w:val="24"/>
          <w:highlight w:val="none"/>
          <w:lang w:val="en-US" w:eastAsia="zh-CN"/>
        </w:rPr>
        <w:t>技术</w:t>
      </w:r>
      <w:r>
        <w:rPr>
          <w:rFonts w:hint="eastAsia" w:ascii="宋体" w:hAnsi="宋体" w:eastAsia="宋体" w:cs="宋体"/>
          <w:color w:val="auto"/>
          <w:sz w:val="24"/>
          <w:szCs w:val="24"/>
          <w:highlight w:val="none"/>
        </w:rPr>
        <w:t>负责人1人、</w:t>
      </w:r>
      <w:r>
        <w:rPr>
          <w:rFonts w:hint="eastAsia" w:ascii="宋体" w:hAnsi="宋体" w:eastAsia="宋体" w:cs="宋体"/>
          <w:color w:val="auto"/>
          <w:sz w:val="24"/>
          <w:szCs w:val="24"/>
          <w:highlight w:val="none"/>
          <w:lang w:val="en-US" w:eastAsia="zh-CN"/>
        </w:rPr>
        <w:t>运维负责人1人、</w:t>
      </w:r>
      <w:r>
        <w:rPr>
          <w:rFonts w:hint="eastAsia" w:ascii="宋体" w:hAnsi="宋体" w:cs="宋体"/>
          <w:color w:val="auto"/>
          <w:sz w:val="24"/>
          <w:szCs w:val="24"/>
          <w:lang w:val="en-US" w:eastAsia="zh-CN"/>
        </w:rPr>
        <w:t>安全负责人1人、</w:t>
      </w:r>
      <w:bookmarkStart w:id="0" w:name="_GoBack"/>
      <w:bookmarkEnd w:id="0"/>
      <w:r>
        <w:rPr>
          <w:rFonts w:hint="eastAsia" w:ascii="宋体" w:hAnsi="宋体" w:eastAsia="宋体" w:cs="宋体"/>
          <w:color w:val="auto"/>
          <w:sz w:val="24"/>
          <w:szCs w:val="24"/>
          <w:highlight w:val="none"/>
        </w:rPr>
        <w:t>技术团队成员不少于4人</w:t>
      </w:r>
      <w:r>
        <w:rPr>
          <w:rFonts w:hint="eastAsia" w:ascii="宋体" w:hAnsi="宋体" w:cs="宋体"/>
          <w:color w:val="auto"/>
          <w:sz w:val="24"/>
          <w:szCs w:val="24"/>
          <w:highlight w:val="none"/>
          <w:lang w:eastAsia="zh-CN"/>
        </w:rPr>
        <w:t>。</w:t>
      </w:r>
      <w:r>
        <w:rPr>
          <w:rFonts w:hint="eastAsia" w:ascii="宋体" w:hAnsi="宋体" w:eastAsia="宋体" w:cs="宋体"/>
          <w:b/>
          <w:bCs w:val="0"/>
          <w:color w:val="auto"/>
          <w:sz w:val="24"/>
          <w:szCs w:val="24"/>
        </w:rPr>
        <w:t>（须提供承诺函，格式自拟）</w:t>
      </w:r>
    </w:p>
    <w:p w14:paraId="19BED6A6">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三、商务要求（以“★”标示的内容为不允许负偏离的实质性要求）</w:t>
      </w:r>
    </w:p>
    <w:p w14:paraId="3454A5E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0"/>
        <w:gridCol w:w="1260"/>
        <w:gridCol w:w="780"/>
        <w:gridCol w:w="5554"/>
      </w:tblGrid>
      <w:tr w14:paraId="0F15F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43ADC2A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1260" w:type="dxa"/>
          </w:tcPr>
          <w:p w14:paraId="66359D3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参数性质</w:t>
            </w:r>
          </w:p>
        </w:tc>
        <w:tc>
          <w:tcPr>
            <w:tcW w:w="780" w:type="dxa"/>
          </w:tcPr>
          <w:p w14:paraId="271171E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类型</w:t>
            </w:r>
          </w:p>
        </w:tc>
        <w:tc>
          <w:tcPr>
            <w:tcW w:w="5554" w:type="dxa"/>
          </w:tcPr>
          <w:p w14:paraId="7761E10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要求</w:t>
            </w:r>
          </w:p>
        </w:tc>
      </w:tr>
      <w:tr w14:paraId="633C29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6B94123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260" w:type="dxa"/>
          </w:tcPr>
          <w:p w14:paraId="1EF0161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780" w:type="dxa"/>
          </w:tcPr>
          <w:p w14:paraId="050EA81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交货时间</w:t>
            </w:r>
          </w:p>
        </w:tc>
        <w:tc>
          <w:tcPr>
            <w:tcW w:w="5554" w:type="dxa"/>
          </w:tcPr>
          <w:p w14:paraId="57B8896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rPr>
              <w:t>合同签订后</w:t>
            </w:r>
            <w:r>
              <w:rPr>
                <w:rFonts w:hint="eastAsia" w:ascii="宋体" w:hAnsi="宋体" w:eastAsia="宋体" w:cs="宋体"/>
                <w:color w:val="auto"/>
                <w:sz w:val="24"/>
                <w:szCs w:val="24"/>
                <w:lang w:val="en-US" w:eastAsia="zh-CN"/>
              </w:rPr>
              <w:t>30个日历日内完成平台开发部署、数据纳管及上线运行</w:t>
            </w:r>
          </w:p>
        </w:tc>
      </w:tr>
      <w:tr w14:paraId="07DA9A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288A6F6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260" w:type="dxa"/>
          </w:tcPr>
          <w:p w14:paraId="31DA156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780" w:type="dxa"/>
          </w:tcPr>
          <w:p w14:paraId="6677787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交货地点</w:t>
            </w:r>
          </w:p>
        </w:tc>
        <w:tc>
          <w:tcPr>
            <w:tcW w:w="5554" w:type="dxa"/>
          </w:tcPr>
          <w:p w14:paraId="11BC24D2">
            <w:pPr>
              <w:pStyle w:val="11"/>
              <w:jc w:val="left"/>
              <w:rPr>
                <w:rFonts w:hint="eastAsia" w:ascii="宋体" w:hAnsi="宋体" w:eastAsia="宋体" w:cs="宋体"/>
                <w:color w:val="auto"/>
                <w:sz w:val="24"/>
                <w:szCs w:val="24"/>
              </w:rPr>
            </w:pPr>
            <w:r>
              <w:rPr>
                <w:rFonts w:hint="eastAsia" w:ascii="宋体" w:hAnsi="宋体" w:cs="宋体"/>
                <w:color w:val="auto"/>
                <w:sz w:val="24"/>
                <w:szCs w:val="24"/>
                <w:lang w:val="en-US" w:eastAsia="zh-CN"/>
              </w:rPr>
              <w:t>福建省</w:t>
            </w:r>
            <w:r>
              <w:rPr>
                <w:rFonts w:hint="eastAsia" w:ascii="宋体" w:hAnsi="宋体" w:eastAsia="宋体" w:cs="宋体"/>
                <w:color w:val="auto"/>
                <w:sz w:val="24"/>
                <w:szCs w:val="24"/>
                <w:lang w:val="en-US"/>
              </w:rPr>
              <w:t>采购人指定地点</w:t>
            </w:r>
          </w:p>
        </w:tc>
      </w:tr>
      <w:tr w14:paraId="20F1BF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1073909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1260" w:type="dxa"/>
          </w:tcPr>
          <w:p w14:paraId="24CE7FA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780" w:type="dxa"/>
          </w:tcPr>
          <w:p w14:paraId="726E117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交货条件</w:t>
            </w:r>
          </w:p>
        </w:tc>
        <w:tc>
          <w:tcPr>
            <w:tcW w:w="5554" w:type="dxa"/>
          </w:tcPr>
          <w:p w14:paraId="665D528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rPr>
              <w:t>经采购人验收合格后交付</w:t>
            </w:r>
          </w:p>
        </w:tc>
      </w:tr>
      <w:tr w14:paraId="0536F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0C48583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1260" w:type="dxa"/>
          </w:tcPr>
          <w:p w14:paraId="1451C36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780" w:type="dxa"/>
          </w:tcPr>
          <w:p w14:paraId="1976A53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是否邀请投标人验收</w:t>
            </w:r>
          </w:p>
        </w:tc>
        <w:tc>
          <w:tcPr>
            <w:tcW w:w="5554" w:type="dxa"/>
          </w:tcPr>
          <w:p w14:paraId="0356795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不邀请投标人验收</w:t>
            </w:r>
          </w:p>
        </w:tc>
      </w:tr>
      <w:tr w14:paraId="5B4BB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0BD2193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260" w:type="dxa"/>
          </w:tcPr>
          <w:p w14:paraId="28EB298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780" w:type="dxa"/>
          </w:tcPr>
          <w:p w14:paraId="5324F47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履约验收方式</w:t>
            </w:r>
          </w:p>
        </w:tc>
        <w:tc>
          <w:tcPr>
            <w:tcW w:w="5554" w:type="dxa"/>
          </w:tcPr>
          <w:p w14:paraId="63E222E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rPr>
              <w:t>1、期次1，说明：按照国家及行业相关标准、招标文件规定、合同约定等标准进行验收，如验收未达规定要求，对采购人造成一切损失，由中标人承担一切责任，并赔偿所造成的损失。</w:t>
            </w:r>
          </w:p>
        </w:tc>
      </w:tr>
      <w:tr w14:paraId="37157B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0A743EC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1260" w:type="dxa"/>
          </w:tcPr>
          <w:p w14:paraId="2ED731E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780" w:type="dxa"/>
          </w:tcPr>
          <w:p w14:paraId="3E177C1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合同支付方式</w:t>
            </w:r>
          </w:p>
        </w:tc>
        <w:tc>
          <w:tcPr>
            <w:tcW w:w="5554" w:type="dxa"/>
          </w:tcPr>
          <w:p w14:paraId="4E6755E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1、进度款，合同支付方式具体详见“三、商务条件，序号7：其他”，达到付款条件起</w:t>
            </w:r>
            <w:r>
              <w:rPr>
                <w:rFonts w:hint="eastAsia" w:ascii="宋体" w:hAnsi="宋体" w:eastAsia="宋体" w:cs="宋体"/>
                <w:color w:val="auto"/>
                <w:sz w:val="24"/>
                <w:szCs w:val="24"/>
                <w:lang w:val="en-US" w:eastAsia="zh-CN"/>
              </w:rPr>
              <w:t>30</w:t>
            </w:r>
            <w:r>
              <w:rPr>
                <w:rFonts w:hint="eastAsia" w:ascii="宋体" w:hAnsi="宋体" w:eastAsia="宋体" w:cs="宋体"/>
                <w:color w:val="auto"/>
                <w:sz w:val="24"/>
                <w:szCs w:val="24"/>
              </w:rPr>
              <w:t>日内，支付合同总金额的100.00%</w:t>
            </w:r>
          </w:p>
        </w:tc>
      </w:tr>
      <w:tr w14:paraId="1615F4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5961E91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1260" w:type="dxa"/>
          </w:tcPr>
          <w:p w14:paraId="50ECB8A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780" w:type="dxa"/>
          </w:tcPr>
          <w:p w14:paraId="02D5988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w:t>
            </w:r>
          </w:p>
        </w:tc>
        <w:tc>
          <w:tcPr>
            <w:tcW w:w="5554" w:type="dxa"/>
          </w:tcPr>
          <w:p w14:paraId="32AB67AB">
            <w:pPr>
              <w:pStyle w:val="11"/>
              <w:jc w:val="left"/>
              <w:rPr>
                <w:rFonts w:hint="eastAsia" w:ascii="宋体" w:hAnsi="宋体" w:eastAsia="宋体" w:cs="宋体"/>
                <w:color w:val="auto"/>
                <w:sz w:val="24"/>
                <w:szCs w:val="24"/>
                <w:lang w:val="en-US"/>
              </w:rPr>
            </w:pPr>
            <w:r>
              <w:rPr>
                <w:rFonts w:hint="eastAsia" w:ascii="宋体" w:hAnsi="宋体" w:eastAsia="宋体" w:cs="宋体"/>
                <w:color w:val="auto"/>
                <w:sz w:val="24"/>
                <w:szCs w:val="24"/>
              </w:rPr>
              <w:t>因系统模板原因，合同支付方式以此为准。</w:t>
            </w:r>
            <w:r>
              <w:rPr>
                <w:rFonts w:hint="eastAsia" w:ascii="宋体" w:hAnsi="宋体" w:eastAsia="宋体" w:cs="宋体"/>
                <w:color w:val="auto"/>
                <w:sz w:val="24"/>
                <w:szCs w:val="24"/>
                <w:lang w:val="en-US"/>
              </w:rPr>
              <w:t xml:space="preserve">合同支付方式： </w:t>
            </w:r>
          </w:p>
          <w:p w14:paraId="3FD47A71">
            <w:pPr>
              <w:pStyle w:val="11"/>
              <w:jc w:val="left"/>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rPr>
              <w:t>1</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rPr>
              <w:t>合同签订生效后，达到付款条件，中标人开具正规等额税务发票，采购人收到发票后 15 日内，支付合同总金额的30.00％；</w:t>
            </w:r>
          </w:p>
          <w:p w14:paraId="0B7D9F6D">
            <w:pPr>
              <w:pStyle w:val="11"/>
              <w:jc w:val="left"/>
              <w:rPr>
                <w:rFonts w:hint="eastAsia" w:ascii="宋体" w:hAnsi="宋体" w:eastAsia="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rPr>
              <w:t>系统上线试运行，初步验收合格，达到付款条件，中标人开具正规等额税务发票，采购人收到发票后 15 日内，支付合同总金额的40.00%；</w:t>
            </w:r>
          </w:p>
          <w:p w14:paraId="019C9F5F">
            <w:pPr>
              <w:pStyle w:val="11"/>
              <w:jc w:val="left"/>
              <w:rPr>
                <w:rFonts w:hint="eastAsia" w:ascii="宋体" w:hAnsi="宋体" w:eastAsia="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rPr>
              <w:t>10 万个有限空间风险点位采集完成并经采购人审核入库，且系统最终验收合格后，达到付款条件，中标人开具正规等额税务发票，采购人收到发票后 15 日内，支付合同总金额的</w:t>
            </w:r>
            <w:r>
              <w:rPr>
                <w:rFonts w:hint="eastAsia" w:ascii="宋体" w:hAnsi="宋体" w:cs="宋体"/>
                <w:color w:val="auto"/>
                <w:sz w:val="24"/>
                <w:szCs w:val="24"/>
                <w:lang w:val="en-US" w:eastAsia="zh-CN"/>
              </w:rPr>
              <w:t>30</w:t>
            </w:r>
            <w:r>
              <w:rPr>
                <w:rFonts w:hint="eastAsia" w:ascii="宋体" w:hAnsi="宋体" w:eastAsia="宋体" w:cs="宋体"/>
                <w:color w:val="auto"/>
                <w:sz w:val="24"/>
                <w:szCs w:val="24"/>
                <w:lang w:val="en-US"/>
              </w:rPr>
              <w:t>.00%；</w:t>
            </w:r>
          </w:p>
          <w:p w14:paraId="59F90D56">
            <w:pPr>
              <w:pStyle w:val="11"/>
              <w:jc w:val="left"/>
              <w:rPr>
                <w:rFonts w:hint="eastAsia" w:ascii="宋体" w:hAnsi="宋体" w:eastAsia="宋体" w:cs="宋体"/>
                <w:color w:val="auto"/>
                <w:sz w:val="24"/>
                <w:szCs w:val="24"/>
              </w:rPr>
            </w:pPr>
          </w:p>
        </w:tc>
      </w:tr>
      <w:tr w14:paraId="0E2E74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0" w:type="dxa"/>
          </w:tcPr>
          <w:p w14:paraId="4DCB8B2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1260" w:type="dxa"/>
          </w:tcPr>
          <w:p w14:paraId="58EE5D8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780" w:type="dxa"/>
          </w:tcPr>
          <w:p w14:paraId="1A81D73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履约保证金</w:t>
            </w:r>
          </w:p>
        </w:tc>
        <w:tc>
          <w:tcPr>
            <w:tcW w:w="5554" w:type="dxa"/>
          </w:tcPr>
          <w:p w14:paraId="1BC95AEE">
            <w:pPr>
              <w:spacing w:line="360" w:lineRule="auto"/>
              <w:jc w:val="both"/>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缴纳, 本采购包履约保证金为合同金额的5%</w:t>
            </w:r>
          </w:p>
          <w:p w14:paraId="27DB6C6D">
            <w:pPr>
              <w:spacing w:line="360" w:lineRule="auto"/>
              <w:jc w:val="both"/>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缴纳方式：银行转账，支票/汇票/本票，保函/保险</w:t>
            </w:r>
          </w:p>
          <w:p w14:paraId="17532EE3">
            <w:pPr>
              <w:pStyle w:val="11"/>
              <w:jc w:val="left"/>
              <w:rPr>
                <w:rFonts w:hint="eastAsia" w:ascii="宋体" w:hAnsi="宋体" w:eastAsia="宋体" w:cs="宋体"/>
                <w:color w:val="auto"/>
                <w:sz w:val="24"/>
                <w:szCs w:val="24"/>
              </w:rPr>
            </w:pPr>
            <w:r>
              <w:rPr>
                <w:rFonts w:hint="eastAsia" w:ascii="宋体" w:hAnsi="宋体" w:eastAsia="宋体" w:cs="宋体"/>
                <w:sz w:val="24"/>
                <w:szCs w:val="24"/>
                <w:lang w:val="en-US" w:eastAsia="zh-Hans"/>
              </w:rPr>
              <w:t>说明：保函/保险（可以为银行保函、保险保函、工程担保保函），中标人在签订政府采购合同时自主选择以支票、汇票、本票、保函等非现金形式向采购人缴纳合同总金额5%的履约保证金，该履约保证金将在项目完成且无未了事项后无息退还。若中标人违约的，采购人将不退还履约保证金或由担保人承担担保责任，造成的一切经济和法律后果由中标人承担。</w:t>
            </w:r>
          </w:p>
        </w:tc>
      </w:tr>
    </w:tbl>
    <w:p w14:paraId="6B06D01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其他商务要求</w:t>
      </w:r>
    </w:p>
    <w:p w14:paraId="203758F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9、培训要求</w:t>
      </w:r>
    </w:p>
    <w:p w14:paraId="569326C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与培训相关的费用，投标人应当一并计算在投标报价中，在实施完成结束前，采购人将不为此支付此类费用。</w:t>
      </w:r>
    </w:p>
    <w:p w14:paraId="543F0E6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10、验收及售后要求</w:t>
      </w:r>
    </w:p>
    <w:p w14:paraId="57C3C6C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10.1验收标准：国家及行业规范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项目相关设计文件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采购文件的约定</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投标文件的承诺。</w:t>
      </w:r>
    </w:p>
    <w:p w14:paraId="6064E01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项目具体验收采购人将按照政府采购合同规定的技术、服务、安全标准组织对中标人履约情况进行验收，并出具验收书。验收结果经双方确认后，双方必须按规定的验收交接单上的项目对照本合同填好验收结果并签名盖章。验收过程中，若发现有软件故障或货物质量问题，中标人应无条件更换或修复，并无条件重新检测并调试直至验收合格交付采购人使用。在此期间，中标人在采购人现场进行安装、调试、试运行直至验收所发生的一切费用由中标人承担且已含在报价总价中。</w:t>
      </w:r>
    </w:p>
    <w:p w14:paraId="4D306D9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在平台终验合格后，</w:t>
      </w:r>
      <w:r>
        <w:rPr>
          <w:rFonts w:hint="eastAsia" w:ascii="宋体" w:hAnsi="宋体" w:cs="宋体"/>
          <w:color w:val="auto"/>
          <w:sz w:val="24"/>
          <w:szCs w:val="24"/>
          <w:lang w:eastAsia="zh-CN"/>
        </w:rPr>
        <w:t>中标</w:t>
      </w:r>
      <w:r>
        <w:rPr>
          <w:rFonts w:hint="eastAsia" w:ascii="宋体" w:hAnsi="宋体" w:eastAsia="宋体" w:cs="宋体"/>
          <w:color w:val="auto"/>
          <w:sz w:val="24"/>
          <w:szCs w:val="24"/>
        </w:rPr>
        <w:t>人应免费提供</w:t>
      </w:r>
      <w:r>
        <w:rPr>
          <w:rFonts w:hint="eastAsia" w:ascii="宋体" w:hAnsi="宋体" w:cs="宋体"/>
          <w:color w:val="auto"/>
          <w:sz w:val="24"/>
          <w:szCs w:val="24"/>
          <w:lang w:eastAsia="zh-CN"/>
        </w:rPr>
        <w:t>至少</w:t>
      </w:r>
      <w:r>
        <w:rPr>
          <w:rFonts w:hint="eastAsia" w:ascii="宋体" w:hAnsi="宋体" w:eastAsia="宋体" w:cs="宋体"/>
          <w:color w:val="auto"/>
          <w:sz w:val="24"/>
          <w:szCs w:val="24"/>
        </w:rPr>
        <w:t>2年质保期及维保服务（质保期起始日期为初验收后第二天起，原则上至 2028年12月31日止）。质保期内，中标人须按合同条款提供服务，非因操作不当造成硬件要更换的零配件由中标人负责包修、包换。</w:t>
      </w:r>
    </w:p>
    <w:p w14:paraId="5B3CE9D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4</w:t>
      </w:r>
      <w:r>
        <w:rPr>
          <w:rFonts w:hint="eastAsia" w:ascii="宋体" w:hAnsi="宋体" w:cs="宋体"/>
          <w:color w:val="auto"/>
          <w:sz w:val="24"/>
          <w:szCs w:val="24"/>
          <w:lang w:eastAsia="zh-CN"/>
        </w:rPr>
        <w:t>中标</w:t>
      </w:r>
      <w:r>
        <w:rPr>
          <w:rFonts w:hint="eastAsia" w:ascii="宋体" w:hAnsi="宋体" w:eastAsia="宋体" w:cs="宋体"/>
          <w:color w:val="auto"/>
          <w:sz w:val="24"/>
          <w:szCs w:val="24"/>
        </w:rPr>
        <w:t>人提供7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24小时</w:t>
      </w:r>
      <w:r>
        <w:rPr>
          <w:rFonts w:hint="eastAsia" w:ascii="宋体" w:hAnsi="宋体" w:cs="宋体"/>
          <w:color w:val="auto"/>
          <w:sz w:val="24"/>
          <w:szCs w:val="24"/>
          <w:lang w:eastAsia="zh-CN"/>
        </w:rPr>
        <w:t>响应</w:t>
      </w:r>
      <w:r>
        <w:rPr>
          <w:rFonts w:hint="eastAsia" w:ascii="宋体" w:hAnsi="宋体" w:eastAsia="宋体" w:cs="宋体"/>
          <w:color w:val="auto"/>
          <w:sz w:val="24"/>
          <w:szCs w:val="24"/>
        </w:rPr>
        <w:t>服务。对于设备在使用过程中出现的问题，在30分钟内响应。如遇与所供产品有关的问题无法远程解决的，在接用户通知后赶到现场提供免费服务。超过1小时无法解决的中标人应提供应急解决方案，确保系统正常运行。</w:t>
      </w:r>
    </w:p>
    <w:p w14:paraId="22D02DA2">
      <w:pPr>
        <w:pStyle w:val="11"/>
        <w:ind w:firstLine="420" w:firstLineChars="0"/>
        <w:jc w:val="left"/>
        <w:rPr>
          <w:rFonts w:ascii="仿宋_GB2312" w:hAnsi="仿宋_GB2312" w:eastAsia="仿宋_GB2312" w:cs="仿宋_GB2312"/>
          <w:color w:val="auto"/>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在本项目系统全生命周期内，若采购人因业务发展、技术迭代或政策要求等原因，决定对本次建设的信息系统进行整体更换或重大版本升级，中标人应按合同约定提供数据导出、迁移演练和迁移协助，并确保数据迁移过程中的完整性、一致性、安全性与可用性；迁移范围、次数、期限、双方责任和费用上限在合同中明确，</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原因造成的迁移错误由</w:t>
      </w:r>
      <w:r>
        <w:rPr>
          <w:rFonts w:hint="eastAsia" w:ascii="宋体" w:hAnsi="宋体" w:eastAsia="宋体" w:cs="宋体"/>
          <w:color w:val="auto"/>
          <w:sz w:val="24"/>
          <w:szCs w:val="24"/>
          <w:lang w:eastAsia="zh-CN"/>
        </w:rPr>
        <w:t>中标人</w:t>
      </w:r>
      <w:r>
        <w:rPr>
          <w:rFonts w:hint="eastAsia" w:ascii="宋体" w:hAnsi="宋体" w:eastAsia="宋体" w:cs="宋体"/>
          <w:color w:val="auto"/>
          <w:sz w:val="24"/>
          <w:szCs w:val="24"/>
        </w:rPr>
        <w:t>承担。</w:t>
      </w:r>
    </w:p>
    <w:p w14:paraId="6E67352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 xml:space="preserve"> 中标人保证其所提供的全部软件产品不存在设计缺陷、逻辑错误或功能异常。若在本项目系统全生命周期内采购人正常使用过程中（含信创符合性测试、三级等保、系统测试、安全和密码测评）发现任何因软件自身原因导致的缺陷、错误或故障，中标人须在接到采购人通知后，无条件、免费提供补丁、升级包或版本修复工作，直至问题彻底解决，并承担因此产生的全部费用。</w:t>
      </w:r>
    </w:p>
    <w:p w14:paraId="39477E5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 xml:space="preserve"> 因中标人自身原因（包括但不限于其所提供软件产品存在的设计缺陷、逻辑错误、或不符合国家及行业强制性标准等）引发问题，导致采购人或任何第三方遭受数据泄露、业务中断、经济损失、上级部门罚款或法律纠纷等不良后果的，中标人应承担相应的赔偿责任、经济损失，并积极协助采购人采取合理措施消除影响、恢复系统。</w:t>
      </w:r>
    </w:p>
    <w:p w14:paraId="208D7D5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 所有开发的应用软件不得设置未经采购人授权的DRM、时间锁、远程停用或其他妨碍采购人正常使用、迁移和审计的技术限制。为实现身份鉴别、数据完整性、访问控制和保密目的，可以采用经采购人确认的应用加密、硬件加密、签名、密钥管理等安全措施，相关密钥、接口和运维文档按合同交付；加密、密码应用方案应满足等级保护与密码应用安全性评估要求。</w:t>
      </w:r>
    </w:p>
    <w:p w14:paraId="0113E68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 xml:space="preserve"> 未经采购人书面许可，中标人不得将该项目的成果提供或许可给第三方使用，也不得用于本项目之外的其他用途。</w:t>
      </w:r>
    </w:p>
    <w:p w14:paraId="5BE832C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10.1</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 xml:space="preserve"> 在项目建设及运维期间，若投标标的物</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芯片/算力/存储</w:t>
      </w:r>
      <w:r>
        <w:rPr>
          <w:rFonts w:hint="eastAsia" w:ascii="宋体" w:hAnsi="宋体" w:cs="宋体"/>
          <w:color w:val="auto"/>
          <w:sz w:val="24"/>
          <w:szCs w:val="24"/>
          <w:lang w:eastAsia="zh-CN"/>
        </w:rPr>
        <w:t>）</w:t>
      </w:r>
      <w:r>
        <w:rPr>
          <w:rFonts w:hint="eastAsia" w:ascii="宋体" w:hAnsi="宋体" w:eastAsia="宋体" w:cs="宋体"/>
          <w:color w:val="auto"/>
          <w:sz w:val="24"/>
          <w:szCs w:val="24"/>
        </w:rPr>
        <w:t>无法正常使用，由</w:t>
      </w:r>
      <w:r>
        <w:rPr>
          <w:rFonts w:hint="eastAsia" w:ascii="宋体" w:hAnsi="宋体" w:eastAsia="宋体" w:cs="宋体"/>
          <w:color w:val="auto"/>
          <w:sz w:val="24"/>
          <w:szCs w:val="24"/>
          <w:lang w:eastAsia="zh-CN"/>
        </w:rPr>
        <w:t>中</w:t>
      </w:r>
      <w:r>
        <w:rPr>
          <w:rFonts w:hint="eastAsia" w:ascii="宋体" w:hAnsi="宋体" w:eastAsia="宋体" w:cs="宋体"/>
          <w:color w:val="auto"/>
          <w:sz w:val="24"/>
          <w:szCs w:val="24"/>
        </w:rPr>
        <w:t>标人负责协调解决，产生额外费用视为本项目的组成部分，采购人不再另行支付。</w:t>
      </w:r>
    </w:p>
    <w:p w14:paraId="0C77327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10.1</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 在质保期内系统运行中，需周期性进行数据备份。若出现数据丢失、数据不完整、数据错误等问题，由中标人负责解决并恢复正常。</w:t>
      </w:r>
    </w:p>
    <w:p w14:paraId="652F8B0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11、知识产权</w:t>
      </w:r>
    </w:p>
    <w:p w14:paraId="31E845D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中标人须保障采购人在使用该货物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在本项目实施过程中，中标人及产品供货商或甲乙双方针对本项目需求开发或组织开发的软件、软件模块或其他代码等的著作权及知识产权归采购人所有，中标人应在项目终验前向采购人提交，采购人拥有全部所有权和版权。</w:t>
      </w:r>
    </w:p>
    <w:p w14:paraId="6FE5C82B">
      <w:pPr>
        <w:pStyle w:val="11"/>
        <w:ind w:firstLine="48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12、在本项目建设期内，中标人须承诺安排不少于6人的项目技术团队常驻现场，负责系统的部署、调试、培训、试运行及问题处理等全过程实施工作</w:t>
      </w:r>
      <w:r>
        <w:rPr>
          <w:rFonts w:hint="eastAsia" w:ascii="宋体" w:hAnsi="宋体" w:eastAsia="宋体" w:cs="宋体"/>
          <w:color w:val="auto"/>
          <w:sz w:val="24"/>
          <w:szCs w:val="24"/>
          <w:highlight w:val="none"/>
        </w:rPr>
        <w:t>。</w:t>
      </w:r>
    </w:p>
    <w:p w14:paraId="31771FC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、运维团队工作规范</w:t>
      </w:r>
    </w:p>
    <w:p w14:paraId="151BD8D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.1 绝对服从调度：运维团队全体成员必须严格服从</w:t>
      </w:r>
      <w:r>
        <w:rPr>
          <w:rFonts w:hint="eastAsia" w:ascii="宋体" w:hAnsi="宋体" w:eastAsia="宋体" w:cs="宋体"/>
          <w:color w:val="auto"/>
          <w:sz w:val="24"/>
          <w:szCs w:val="24"/>
          <w:lang w:val="en-US" w:eastAsia="zh-CN"/>
        </w:rPr>
        <w:t>应急厅的</w:t>
      </w:r>
      <w:r>
        <w:rPr>
          <w:rFonts w:hint="eastAsia" w:ascii="宋体" w:hAnsi="宋体" w:eastAsia="宋体" w:cs="宋体"/>
          <w:color w:val="auto"/>
          <w:sz w:val="24"/>
          <w:szCs w:val="24"/>
        </w:rPr>
        <w:t>工作安排与调度指令。无论是日常系统维护、设备巡检，还是突发故障抢修、应急任务执行等，都要第一时间响应，不得以任何借口推诿、拖延。</w:t>
      </w:r>
    </w:p>
    <w:p w14:paraId="5F3C438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.2 配合科室协作：积极配合各科室的工作需求。当科室提出系统操作指导、调试协助等请求时，运维人员要及时提供专业支持；对于科室的信息化建设规划、数据统计需求，也要全力配合落实，保障整体工作流程顺畅。</w:t>
      </w:r>
    </w:p>
    <w:p w14:paraId="043C108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.3 执行值班制度：严格遵守</w:t>
      </w:r>
      <w:r>
        <w:rPr>
          <w:rFonts w:hint="eastAsia" w:ascii="宋体" w:hAnsi="宋体" w:eastAsia="宋体" w:cs="宋体"/>
          <w:color w:val="auto"/>
          <w:sz w:val="24"/>
          <w:szCs w:val="24"/>
          <w:lang w:val="en-US" w:eastAsia="zh-CN"/>
        </w:rPr>
        <w:t>应急厅</w:t>
      </w:r>
      <w:r>
        <w:rPr>
          <w:rFonts w:hint="eastAsia" w:ascii="宋体" w:hAnsi="宋体" w:eastAsia="宋体" w:cs="宋体"/>
          <w:color w:val="auto"/>
          <w:sz w:val="24"/>
          <w:szCs w:val="24"/>
        </w:rPr>
        <w:t>制定的运维值班制度，确保24小时及时响应。值班人员要坚守岗位，保持通讯畅通，遇有紧急情况迅速处理并按规定上报，保障信息系统全天候稳定运行。</w:t>
      </w:r>
    </w:p>
    <w:p w14:paraId="6D56AAFB">
      <w:pPr>
        <w:pStyle w:val="11"/>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、违约责任</w:t>
      </w:r>
    </w:p>
    <w:p w14:paraId="77FE435B">
      <w:pPr>
        <w:pStyle w:val="11"/>
        <w:ind w:firstLine="48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.1因中标人原因造成合同无法按时签订，对采购人造成的损失需另行支付相应的赔偿。</w:t>
      </w:r>
    </w:p>
    <w:p w14:paraId="1084E13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.2中标人未按合同约定的</w:t>
      </w:r>
      <w:r>
        <w:rPr>
          <w:rFonts w:hint="eastAsia" w:ascii="宋体" w:hAnsi="宋体" w:eastAsia="宋体" w:cs="宋体"/>
          <w:color w:val="auto"/>
          <w:sz w:val="24"/>
          <w:szCs w:val="24"/>
          <w:highlight w:val="none"/>
          <w:lang w:val="en-US" w:eastAsia="zh-CN"/>
        </w:rPr>
        <w:t>交付</w:t>
      </w:r>
      <w:r>
        <w:rPr>
          <w:rFonts w:hint="eastAsia" w:ascii="宋体" w:hAnsi="宋体" w:eastAsia="宋体" w:cs="宋体"/>
          <w:color w:val="auto"/>
          <w:sz w:val="24"/>
          <w:szCs w:val="24"/>
          <w:highlight w:val="none"/>
        </w:rPr>
        <w:t>日期交</w:t>
      </w:r>
      <w:r>
        <w:rPr>
          <w:rFonts w:hint="eastAsia" w:ascii="宋体" w:hAnsi="宋体" w:eastAsia="宋体" w:cs="宋体"/>
          <w:color w:val="auto"/>
          <w:sz w:val="24"/>
          <w:szCs w:val="24"/>
          <w:highlight w:val="none"/>
          <w:lang w:val="en-US" w:eastAsia="zh-CN"/>
        </w:rPr>
        <w:t>付</w:t>
      </w:r>
      <w:r>
        <w:rPr>
          <w:rFonts w:hint="eastAsia" w:ascii="宋体" w:hAnsi="宋体" w:eastAsia="宋体" w:cs="宋体"/>
          <w:color w:val="auto"/>
          <w:sz w:val="24"/>
          <w:szCs w:val="24"/>
          <w:highlight w:val="none"/>
        </w:rPr>
        <w:t>的，每逾期一日，向采购人支付逾期交付</w:t>
      </w:r>
      <w:r>
        <w:rPr>
          <w:rFonts w:hint="eastAsia" w:ascii="宋体" w:hAnsi="宋体" w:eastAsia="宋体" w:cs="宋体"/>
          <w:color w:val="auto"/>
          <w:sz w:val="24"/>
          <w:szCs w:val="24"/>
          <w:highlight w:val="none"/>
          <w:lang w:val="en-US" w:eastAsia="zh-CN"/>
        </w:rPr>
        <w:t>合同总</w:t>
      </w:r>
      <w:r>
        <w:rPr>
          <w:rFonts w:hint="eastAsia" w:ascii="宋体" w:hAnsi="宋体" w:cs="宋体"/>
          <w:color w:val="auto"/>
          <w:sz w:val="24"/>
          <w:szCs w:val="24"/>
          <w:highlight w:val="none"/>
          <w:lang w:val="en-US" w:eastAsia="zh-CN"/>
        </w:rPr>
        <w:t>金额</w:t>
      </w:r>
      <w:r>
        <w:rPr>
          <w:rFonts w:hint="eastAsia" w:ascii="宋体" w:hAnsi="宋体" w:eastAsia="宋体" w:cs="宋体"/>
          <w:color w:val="auto"/>
          <w:sz w:val="24"/>
          <w:szCs w:val="24"/>
          <w:highlight w:val="none"/>
        </w:rPr>
        <w:t>的0.</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%的违约金，但不超过合同总金额的</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0%。中标人支付逾期交</w:t>
      </w:r>
      <w:r>
        <w:rPr>
          <w:rFonts w:hint="eastAsia" w:ascii="宋体" w:hAnsi="宋体" w:cs="宋体"/>
          <w:color w:val="auto"/>
          <w:sz w:val="24"/>
          <w:szCs w:val="24"/>
          <w:highlight w:val="none"/>
          <w:lang w:eastAsia="zh-CN"/>
        </w:rPr>
        <w:t>付</w:t>
      </w:r>
      <w:r>
        <w:rPr>
          <w:rFonts w:hint="eastAsia" w:ascii="宋体" w:hAnsi="宋体" w:eastAsia="宋体" w:cs="宋体"/>
          <w:color w:val="auto"/>
          <w:sz w:val="24"/>
          <w:szCs w:val="24"/>
          <w:highlight w:val="none"/>
        </w:rPr>
        <w:t>违约金并不免除其</w:t>
      </w:r>
      <w:r>
        <w:rPr>
          <w:rFonts w:hint="eastAsia" w:ascii="宋体" w:hAnsi="宋体" w:eastAsia="宋体" w:cs="宋体"/>
          <w:color w:val="auto"/>
          <w:sz w:val="24"/>
          <w:szCs w:val="24"/>
          <w:highlight w:val="none"/>
          <w:lang w:val="en-US" w:eastAsia="zh-CN"/>
        </w:rPr>
        <w:t>交付</w:t>
      </w:r>
      <w:r>
        <w:rPr>
          <w:rFonts w:hint="eastAsia" w:ascii="宋体" w:hAnsi="宋体" w:eastAsia="宋体" w:cs="宋体"/>
          <w:color w:val="auto"/>
          <w:sz w:val="24"/>
          <w:szCs w:val="24"/>
          <w:highlight w:val="none"/>
        </w:rPr>
        <w:t>的责任。如中标人在政府采购合同规定的交</w:t>
      </w:r>
      <w:r>
        <w:rPr>
          <w:rFonts w:hint="eastAsia" w:ascii="宋体" w:hAnsi="宋体" w:cs="宋体"/>
          <w:color w:val="auto"/>
          <w:sz w:val="24"/>
          <w:szCs w:val="24"/>
          <w:highlight w:val="none"/>
          <w:lang w:eastAsia="zh-CN"/>
        </w:rPr>
        <w:t>付</w:t>
      </w:r>
      <w:r>
        <w:rPr>
          <w:rFonts w:hint="eastAsia" w:ascii="宋体" w:hAnsi="宋体" w:eastAsia="宋体" w:cs="宋体"/>
          <w:color w:val="auto"/>
          <w:sz w:val="24"/>
          <w:szCs w:val="24"/>
          <w:highlight w:val="none"/>
        </w:rPr>
        <w:t>日期后15个工作日内仍未能交</w:t>
      </w:r>
      <w:r>
        <w:rPr>
          <w:rFonts w:hint="eastAsia" w:ascii="宋体" w:hAnsi="宋体" w:eastAsia="宋体" w:cs="宋体"/>
          <w:color w:val="auto"/>
          <w:sz w:val="24"/>
          <w:szCs w:val="24"/>
          <w:highlight w:val="none"/>
          <w:lang w:val="en-US" w:eastAsia="zh-CN"/>
        </w:rPr>
        <w:t>付</w:t>
      </w:r>
      <w:r>
        <w:rPr>
          <w:rFonts w:hint="eastAsia" w:ascii="宋体" w:hAnsi="宋体" w:eastAsia="宋体" w:cs="宋体"/>
          <w:color w:val="auto"/>
          <w:sz w:val="24"/>
          <w:szCs w:val="24"/>
          <w:highlight w:val="none"/>
        </w:rPr>
        <w:t>，则视为中标人不能交</w:t>
      </w:r>
      <w:r>
        <w:rPr>
          <w:rFonts w:hint="eastAsia" w:ascii="宋体" w:hAnsi="宋体" w:eastAsia="宋体" w:cs="宋体"/>
          <w:color w:val="auto"/>
          <w:sz w:val="24"/>
          <w:szCs w:val="24"/>
          <w:highlight w:val="none"/>
          <w:lang w:val="en-US" w:eastAsia="zh-CN"/>
        </w:rPr>
        <w:t>付</w:t>
      </w:r>
      <w:r>
        <w:rPr>
          <w:rFonts w:hint="eastAsia" w:ascii="宋体" w:hAnsi="宋体" w:eastAsia="宋体" w:cs="宋体"/>
          <w:color w:val="auto"/>
          <w:sz w:val="24"/>
          <w:szCs w:val="24"/>
          <w:highlight w:val="none"/>
        </w:rPr>
        <w:t>，采购人有权解除政府采购合同，中标人除退还已收取的</w:t>
      </w:r>
      <w:r>
        <w:rPr>
          <w:rFonts w:hint="eastAsia" w:ascii="宋体" w:hAnsi="宋体" w:eastAsia="宋体" w:cs="宋体"/>
          <w:color w:val="auto"/>
          <w:sz w:val="24"/>
          <w:szCs w:val="24"/>
          <w:highlight w:val="none"/>
          <w:lang w:val="en-US" w:eastAsia="zh-CN"/>
        </w:rPr>
        <w:t>款项</w:t>
      </w:r>
      <w:r>
        <w:rPr>
          <w:rFonts w:hint="eastAsia" w:ascii="宋体" w:hAnsi="宋体" w:eastAsia="宋体" w:cs="宋体"/>
          <w:color w:val="auto"/>
          <w:sz w:val="24"/>
          <w:szCs w:val="24"/>
          <w:highlight w:val="none"/>
        </w:rPr>
        <w:t>外，还应向采购人偿付政府采购合同总金额</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0%的违约金。如中标人存在恶意违约情形（如交付假冒伪劣产品、擅自转包、故意拖延履行、伪造履约证据等），采购人有权要求中标人支付合同总金额</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0%的违约金。</w:t>
      </w:r>
    </w:p>
    <w:p w14:paraId="0ABF341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、保密要求</w:t>
      </w:r>
    </w:p>
    <w:p w14:paraId="56426C4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中标人及其指派人员在项目实施过程中，需严格遵守采购人有关保密规定和要求。在工作中使用和产生的各类纸质或电子文档资料均归招标人所有。中标人对接触到、掌握到的采购人的工作状况、文件资料、数据信息、技术装备等应严格保守秘密，未经采购人书面许可，不得记录、存储、复制、泄露、外传等。不以任何直接或间接的方式向任何第三方提供、泄露本项目相关秘密信息，也不得将这些信息用于为第三方服务。中标人因保密工作不到位，造成采购人信息泄露造成不良后果的，采购人将依法追究中标人法律责任。</w:t>
      </w:r>
    </w:p>
    <w:p w14:paraId="54DF5A9D">
      <w:pPr>
        <w:pStyle w:val="11"/>
        <w:jc w:val="both"/>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四、其他事项</w:t>
      </w:r>
    </w:p>
    <w:p w14:paraId="1BCB8E1F">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1、除招标文件另有规定外，若出现有关法律、法规和规章有强制性规定但招标文件未列明的情形，则投标人应按照有关法律、法规和规章强制性规定执行。</w:t>
      </w:r>
    </w:p>
    <w:p w14:paraId="4290CB9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2、其他：</w:t>
      </w:r>
    </w:p>
    <w:p w14:paraId="7144A129">
      <w:pPr>
        <w:pStyle w:val="11"/>
        <w:ind w:firstLine="480"/>
        <w:jc w:val="both"/>
        <w:rPr>
          <w:rFonts w:hint="eastAsia" w:ascii="宋体" w:hAnsi="宋体" w:eastAsia="宋体" w:cs="宋体"/>
          <w:color w:val="auto"/>
          <w:sz w:val="24"/>
          <w:szCs w:val="24"/>
        </w:rPr>
      </w:pPr>
      <w:r>
        <w:rPr>
          <w:rFonts w:hint="eastAsia" w:ascii="宋体" w:hAnsi="宋体" w:eastAsia="宋体" w:cs="宋体"/>
          <w:color w:val="auto"/>
          <w:sz w:val="24"/>
          <w:szCs w:val="24"/>
        </w:rPr>
        <w:t>2.1本项目不允许中标人以任何名义和理由进行转包,如有发现,视为中标人违约,对采购人造成的损失的,需另行支付相应的赔偿。 2.2本招标文件未明确的其它约定事项或条款,待采购人与中标人签订合同时，由双方协商订立。</w:t>
      </w:r>
    </w:p>
    <w:p w14:paraId="6505F15D">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625039FF">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第六章 政府采购合同</w:t>
      </w:r>
    </w:p>
    <w:p w14:paraId="1121661D">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参考文本</w:t>
      </w:r>
    </w:p>
    <w:p w14:paraId="6A2C06B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合同编号：</w:t>
      </w:r>
    </w:p>
    <w:p w14:paraId="3F0C983B">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福建省政府采购合同（服务类）</w:t>
      </w:r>
    </w:p>
    <w:p w14:paraId="70BBFA6A">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编制说明</w:t>
      </w:r>
      <w:r>
        <w:rPr>
          <w:rFonts w:hint="eastAsia" w:ascii="宋体" w:hAnsi="宋体" w:eastAsia="宋体" w:cs="宋体"/>
          <w:color w:val="auto"/>
          <w:sz w:val="24"/>
          <w:szCs w:val="24"/>
        </w:rPr>
        <w:br w:type="textWrapping"/>
      </w:r>
    </w:p>
    <w:p w14:paraId="75D9F61D">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1.签订合同应遵守《中华人民共和国政府采购法》及其实施条例、《中华人民共和国民法典》等法律法规及其他有关规定。</w:t>
      </w:r>
    </w:p>
    <w:p w14:paraId="1B52D021">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0EDA4A01">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3.政府有关主管部门对若干合同有规范文本的，可使用相应合同文本。</w:t>
      </w:r>
    </w:p>
    <w:p w14:paraId="1F3E4BEF">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4.本合同范本仅供参考，采购人应当根据采购项目的实际需求对合同条款进行修改、补充。</w:t>
      </w:r>
    </w:p>
    <w:p w14:paraId="79F9C29C">
      <w:pPr>
        <w:pStyle w:val="11"/>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甲方：</w:t>
      </w:r>
    </w:p>
    <w:p w14:paraId="281D5ED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住所地：________________</w:t>
      </w:r>
    </w:p>
    <w:p w14:paraId="4249B9C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联系人：________________</w:t>
      </w:r>
    </w:p>
    <w:p w14:paraId="53F398B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联系电话：______________</w:t>
      </w:r>
    </w:p>
    <w:p w14:paraId="5BFEEE3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传真：________________</w:t>
      </w:r>
    </w:p>
    <w:p w14:paraId="1E2E502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电子邮箱：________________</w:t>
      </w:r>
      <w:r>
        <w:rPr>
          <w:rFonts w:hint="eastAsia" w:ascii="宋体" w:hAnsi="宋体" w:eastAsia="宋体" w:cs="宋体"/>
          <w:color w:val="auto"/>
          <w:sz w:val="24"/>
          <w:szCs w:val="24"/>
        </w:rPr>
        <w:br w:type="textWrapping"/>
      </w:r>
    </w:p>
    <w:p w14:paraId="150F01ED">
      <w:pPr>
        <w:pStyle w:val="11"/>
        <w:ind w:left="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乙方： ________________</w:t>
      </w:r>
    </w:p>
    <w:p w14:paraId="1F89F41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住所地： ________________</w:t>
      </w:r>
    </w:p>
    <w:p w14:paraId="4795022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联系人：______________</w:t>
      </w:r>
    </w:p>
    <w:p w14:paraId="5679BD7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联系电话：______________</w:t>
      </w:r>
    </w:p>
    <w:p w14:paraId="1838E84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传真：________________</w:t>
      </w:r>
    </w:p>
    <w:p w14:paraId="0B5CDF6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电子邮箱：________________</w:t>
      </w:r>
    </w:p>
    <w:p w14:paraId="05267DF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根据项目编号为___________ 的 __________项目（以下简称：“本项目”）的采购结果，遵循平等、自愿、公平和诚实信用的原则，双方签署本合同，具体内容如下：</w:t>
      </w:r>
    </w:p>
    <w:p w14:paraId="1FE026A6">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一、合同组成部分</w:t>
      </w:r>
    </w:p>
    <w:p w14:paraId="7A3C640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1.1本合同条款及附件；</w:t>
      </w:r>
    </w:p>
    <w:p w14:paraId="3BD5997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1.2采购文件及其附件、补充文件；</w:t>
      </w:r>
    </w:p>
    <w:p w14:paraId="4C7C5DA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1.3乙方的响应文件及其附件、补充文件；</w:t>
      </w:r>
    </w:p>
    <w:p w14:paraId="724391C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1.4其他文件或材料：</w:t>
      </w:r>
    </w:p>
    <w:p w14:paraId="596E0F6B">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二、合同标的</w:t>
      </w:r>
      <w:r>
        <w:rPr>
          <w:rFonts w:hint="eastAsia" w:ascii="宋体" w:hAnsi="宋体" w:eastAsia="宋体" w:cs="宋体"/>
          <w:color w:val="auto"/>
          <w:sz w:val="24"/>
          <w:szCs w:val="24"/>
        </w:rPr>
        <w:br w:type="textWrapping"/>
      </w:r>
    </w:p>
    <w:p w14:paraId="4EDD43A8">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三、价格形式及合同价款</w:t>
      </w:r>
    </w:p>
    <w:p w14:paraId="2382C4EF">
      <w:pPr>
        <w:pStyle w:val="11"/>
        <w:jc w:val="left"/>
        <w:outlineLvl w:val="4"/>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3.1价格形式</w:t>
      </w:r>
    </w:p>
    <w:p w14:paraId="1237BAE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固定单价合同。完成约定服务事项的含税合同单价为：人民币（大写）元（￥ _____________元）。</w:t>
      </w:r>
    </w:p>
    <w:p w14:paraId="36B838C4">
      <w:pPr>
        <w:pStyle w:val="11"/>
        <w:spacing w:line="30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固定总价合同。完成约定服务事项的含税服务费用为：人民币（大写）元（￥_____________ 元）。</w:t>
      </w:r>
    </w:p>
    <w:p w14:paraId="46B8BE31">
      <w:pPr>
        <w:pStyle w:val="11"/>
        <w:spacing w:line="30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其他方式。</w:t>
      </w:r>
    </w:p>
    <w:p w14:paraId="6955EDC9">
      <w:pPr>
        <w:pStyle w:val="11"/>
        <w:spacing w:line="300" w:lineRule="auto"/>
        <w:jc w:val="left"/>
        <w:outlineLvl w:val="4"/>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3.2合同价款包含范围</w:t>
      </w:r>
    </w:p>
    <w:p w14:paraId="5A78CD2C">
      <w:pPr>
        <w:pStyle w:val="11"/>
        <w:jc w:val="left"/>
        <w:outlineLvl w:val="4"/>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3.3其他需说明的事项：</w:t>
      </w:r>
    </w:p>
    <w:p w14:paraId="3C91723E">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四、合同标的及服务范围、地点和时间</w:t>
      </w:r>
    </w:p>
    <w:p w14:paraId="3FCAE97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4.1项目名称： _____________</w:t>
      </w:r>
    </w:p>
    <w:p w14:paraId="7D12AA8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4.2服务范围：_____________</w:t>
      </w:r>
    </w:p>
    <w:p w14:paraId="5F5F25D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4.3服务地点：_____________</w:t>
      </w:r>
    </w:p>
    <w:p w14:paraId="082768A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4.4服务完成时间：_____________</w:t>
      </w:r>
    </w:p>
    <w:p w14:paraId="174882D6">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五、服务内容、质量标准和要求</w:t>
      </w:r>
    </w:p>
    <w:p w14:paraId="7751DF2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5.1服务工作量的计量方式：_____________</w:t>
      </w:r>
    </w:p>
    <w:p w14:paraId="40FE016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5.2服务内容：_____________</w:t>
      </w:r>
    </w:p>
    <w:p w14:paraId="7978D6B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5.3技术保障、服务人员组成、所涉及的货物的质量标准：</w:t>
      </w:r>
    </w:p>
    <w:p w14:paraId="658680C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（1）服务技术保障：_____________</w:t>
      </w:r>
    </w:p>
    <w:p w14:paraId="6C100B7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（2）服务人员组成：_____________</w:t>
      </w:r>
    </w:p>
    <w:p w14:paraId="745BBA6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（3）服务设备及物资投入及质量标准：_____________</w:t>
      </w:r>
    </w:p>
    <w:p w14:paraId="210D8F3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5.4服务质量标准及要求：</w:t>
      </w:r>
    </w:p>
    <w:p w14:paraId="2C01BA4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4DF8D9A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22631AE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5.4.3其他要求：</w:t>
      </w:r>
    </w:p>
    <w:p w14:paraId="0FC59056">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六、服务履约验收或考核</w:t>
      </w:r>
    </w:p>
    <w:p w14:paraId="1331AC5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058E94CB">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七、甲方的权利与义务</w:t>
      </w:r>
    </w:p>
    <w:p w14:paraId="226F4D3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7.1甲方委派___________为联系人，联系方式 ___________，负责与乙方联系。如甲方联系人发生变更，甲方应书面告知乙方。</w:t>
      </w:r>
    </w:p>
    <w:p w14:paraId="01E0722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7.2甲方应为乙方开展服务工作提供必要的工作条件，以及对内对外沟通和配合协助。</w:t>
      </w:r>
    </w:p>
    <w:p w14:paraId="1849270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7.3甲方应于___________之前提供服务所需的全部资料，并对所提供材料真实性、完整性、合法性负责。</w:t>
      </w:r>
    </w:p>
    <w:p w14:paraId="290F5EF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3B1CB2F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7.5甲方应按本合同约定及时足额支付服务费用及相关费用。</w:t>
      </w:r>
    </w:p>
    <w:p w14:paraId="3B3DC9D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7.6其他</w:t>
      </w:r>
    </w:p>
    <w:p w14:paraId="5D6989E9">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八、乙方的权利与义务</w:t>
      </w:r>
    </w:p>
    <w:p w14:paraId="4D0933D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8.1乙方委派___________为联系人，联系方式 ___________，负责与甲方联系。如乙方联系人发生变更，乙方应书面告知甲方</w:t>
      </w:r>
    </w:p>
    <w:p w14:paraId="197AEDE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8.2乙方应国家法律法规和{{乙方的权利与义务-响应要求-福建}}等要求开展{{乙方的权利与义务-开展服务-福建}}服务；</w:t>
      </w:r>
    </w:p>
    <w:p w14:paraId="34A6149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8.3乙方及其所委派服务人员应按标准或协议约定方式出具服务成果，并对其真实性和合法性负法律责任；</w:t>
      </w:r>
    </w:p>
    <w:p w14:paraId="56F7452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8.4乙方对执行业务过程中知悉的国家秘密或甲方的商业秘密保密。除非国家法律法规及行业规范另有规定,或经甲方同意,乙方不得将其知悉的商业秘密和甲方提供的资料对外泄露。</w:t>
      </w:r>
    </w:p>
    <w:p w14:paraId="267C6B4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8.5乙方对服务业务应当单独建档，保存完整的工作记录，并对服务过程使用和暂存甲方的文件、材料和财物应当妥善保管。</w:t>
      </w:r>
    </w:p>
    <w:p w14:paraId="4A7261A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8.6服务工作结束后,乙方将根据情况对甲方服务相关的管理制度及其他事项等提出改进意见。</w:t>
      </w:r>
    </w:p>
    <w:p w14:paraId="37FF0C1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8.7乙方完全遵守《中华人民共和国劳动合同法》有关规定和《中华人民共和国妇女权益保障法》中关于“劳动和社会保障权益”的有关要求。</w:t>
      </w:r>
    </w:p>
    <w:p w14:paraId="34A8327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8.8其他</w:t>
      </w:r>
    </w:p>
    <w:p w14:paraId="205A24A8">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九、资金支付方式、时间和条件</w:t>
      </w:r>
      <w:r>
        <w:rPr>
          <w:rFonts w:hint="eastAsia" w:ascii="宋体" w:hAnsi="宋体" w:eastAsia="宋体" w:cs="宋体"/>
          <w:color w:val="auto"/>
          <w:sz w:val="24"/>
          <w:szCs w:val="24"/>
        </w:rPr>
        <w:br w:type="textWrapping"/>
      </w:r>
    </w:p>
    <w:p w14:paraId="0150984E">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十、履约保证金</w:t>
      </w:r>
    </w:p>
    <w:p w14:paraId="7D3778F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□有，□无。具体如下：（按照采购文件规定填写）。</w:t>
      </w:r>
    </w:p>
    <w:p w14:paraId="680E352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10.1乙方向甲方缴纳人民币 / 元作为本合同的履约保证金。</w:t>
      </w:r>
    </w:p>
    <w:p w14:paraId="35B92E4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10.2履约保证金缴纳形式：支票/汇票/电汇/保函等非现金形式。</w:t>
      </w:r>
    </w:p>
    <w:p w14:paraId="6D5CB07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10.3履约保证金合同履行完毕前有效，合同履行完毕后一次性结清退还。</w:t>
      </w:r>
    </w:p>
    <w:p w14:paraId="6E76F299">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十一、合同期限</w:t>
      </w:r>
      <w:r>
        <w:rPr>
          <w:rFonts w:hint="eastAsia" w:ascii="宋体" w:hAnsi="宋体" w:eastAsia="宋体" w:cs="宋体"/>
          <w:color w:val="auto"/>
          <w:sz w:val="24"/>
          <w:szCs w:val="24"/>
        </w:rPr>
        <w:br w:type="textWrapping"/>
      </w:r>
    </w:p>
    <w:p w14:paraId="0EC2CE60">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十二、保密条款</w:t>
      </w:r>
    </w:p>
    <w:p w14:paraId="1E81CE2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12.1对于在采购和合同履行过程中所获悉的属于保密的内容，甲、乙双方均负有保密义务。</w:t>
      </w:r>
    </w:p>
    <w:p w14:paraId="58E1B6E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12.2其他</w:t>
      </w:r>
    </w:p>
    <w:p w14:paraId="77D26F61">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十三、违约责任</w:t>
      </w:r>
    </w:p>
    <w:p w14:paraId="1AEAF23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13.1甲方违约责任</w:t>
      </w:r>
    </w:p>
    <w:p w14:paraId="6C487D5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（1）甲方无正当理由拒绝乙方提供合格服务的，甲方应向乙方偿付所拒收合同总价________的违约金</w:t>
      </w:r>
    </w:p>
    <w:p w14:paraId="1D74667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（2）甲方无故逾期验收和办理合同款项支付手续的,甲方应按逾期付款总额每日________向乙方支付违约金。</w:t>
      </w:r>
    </w:p>
    <w:p w14:paraId="1E8DA21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（3）其他违约情形</w:t>
      </w:r>
    </w:p>
    <w:p w14:paraId="264A07E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13.2乙方违约责任</w:t>
      </w:r>
    </w:p>
    <w:p w14:paraId="4911D84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（1）乙方逾期履行服务的，乙方应按逾期交付总额每日________向甲方支付违约金，由甲方从待付货款中扣除。乙方无正当理由逾期超过约定日期________仍不能交付的，视为“乙方不按合同约定履约”；</w:t>
      </w:r>
    </w:p>
    <w:p w14:paraId="1DAB6C3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（2）乙方所履行的服务不符合合同规定及《采购文件》规定标准的，甲方有权拒绝，乙方愿意整改但逾期履行的，按乙方逾期履行处理。乙方拒绝整改的，视为“乙方不按合同约定履约”</w:t>
      </w:r>
    </w:p>
    <w:p w14:paraId="08059CA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（3）乙方不按合同约定履约的，甲方可以解除采购合同，并对乙方已缴纳的履约保证金作“不予退还”处理。同时，乙方须按以下约定向甲方支付违约金：</w:t>
      </w:r>
    </w:p>
    <w:p w14:paraId="0E95D9E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（4）其他违约情形</w:t>
      </w:r>
    </w:p>
    <w:p w14:paraId="2CDA95CE">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十四、不可抗力事件处理</w:t>
      </w:r>
    </w:p>
    <w:p w14:paraId="2DDF543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0D660B03">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十五、解决争议的方法</w:t>
      </w:r>
    </w:p>
    <w:p w14:paraId="5785FA1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15.1甲、乙双方协商解决。</w:t>
      </w:r>
    </w:p>
    <w:p w14:paraId="17BD8EE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15.2若协商解决不成，双方明确按以下第_种方式解决：</w:t>
      </w:r>
    </w:p>
    <w:p w14:paraId="2DAA79F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1、提交仲裁委员会仲裁，具体如下：</w:t>
      </w:r>
    </w:p>
    <w:p w14:paraId="0A77B34B">
      <w:pPr>
        <w:pStyle w:val="11"/>
        <w:spacing w:line="30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2、向______人民法院提起诉讼。</w:t>
      </w:r>
    </w:p>
    <w:p w14:paraId="3C006433">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十六、合同其他条款</w:t>
      </w:r>
      <w:r>
        <w:rPr>
          <w:rFonts w:hint="eastAsia" w:ascii="宋体" w:hAnsi="宋体" w:eastAsia="宋体" w:cs="宋体"/>
          <w:color w:val="auto"/>
          <w:sz w:val="24"/>
          <w:szCs w:val="24"/>
        </w:rPr>
        <w:br w:type="textWrapping"/>
      </w:r>
    </w:p>
    <w:p w14:paraId="6B8642C2">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十七、其他约定</w:t>
      </w:r>
    </w:p>
    <w:p w14:paraId="5B45DBB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17.1合同文件与本合同具有同等法律效力。</w:t>
      </w:r>
    </w:p>
    <w:p w14:paraId="34C936B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5382CA1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17.3本合同未尽事宜，遵照《中华人民共和国民法典》有关条文执行。</w:t>
      </w:r>
    </w:p>
    <w:p w14:paraId="5AB3F1A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17.4本合同正本一式_______份，具有同等法律效力，甲方、乙方各执_______份；副本_______份，_______</w:t>
      </w:r>
    </w:p>
    <w:p w14:paraId="13E19AC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17.5其他</w:t>
      </w:r>
    </w:p>
    <w:p w14:paraId="7521F8A5">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十八、合同附件</w:t>
      </w:r>
    </w:p>
    <w:p w14:paraId="5306E805">
      <w:pPr>
        <w:pStyle w:val="11"/>
        <w:jc w:val="left"/>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 xml:space="preserve"> 十九、合同融资支付约定</w:t>
      </w:r>
    </w:p>
    <w:p w14:paraId="4B94B298">
      <w:pPr>
        <w:pStyle w:val="11"/>
        <w:jc w:val="left"/>
        <w:rPr>
          <w:rFonts w:hint="eastAsia" w:ascii="宋体" w:hAnsi="宋体" w:eastAsia="宋体" w:cs="宋体"/>
          <w:color w:val="auto"/>
          <w:sz w:val="24"/>
          <w:szCs w:val="24"/>
        </w:rPr>
      </w:pPr>
      <w:r>
        <w:rPr>
          <w:rFonts w:hint="eastAsia" w:ascii="宋体" w:hAnsi="宋体" w:eastAsia="宋体" w:cs="宋体"/>
          <w:b/>
          <w:color w:val="auto"/>
          <w:sz w:val="24"/>
          <w:szCs w:val="24"/>
        </w:rPr>
        <w:t>19.1本合同已用于政府采购合同融资，为本项目提供合同融资的金融机构为：_______，本合同项下所有款项，甲方须支付至本合同约定的乙方账号，未经_______书面同意，不得变更账号。</w:t>
      </w:r>
    </w:p>
    <w:p w14:paraId="1EAF510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中标（成交）供应商应于采购合同签订之日起_______内，向发放政采贷的金融机构提交政府采购中标（成交）通知书和政府采购合同，贷款金额以政府采购合同金额为限。</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p>
    <w:p w14:paraId="090B637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甲方（采购人）：</w:t>
      </w:r>
    </w:p>
    <w:p w14:paraId="54B4CEC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法定（授权）代表人：</w:t>
      </w:r>
    </w:p>
    <w:p w14:paraId="1104B35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纳税人识别号：</w:t>
      </w:r>
    </w:p>
    <w:p w14:paraId="65EF7EA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开户银行：</w:t>
      </w:r>
    </w:p>
    <w:p w14:paraId="7C834D2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账号：</w:t>
      </w:r>
    </w:p>
    <w:p w14:paraId="127AF62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乙方（中标或成交人）：</w:t>
      </w:r>
    </w:p>
    <w:p w14:paraId="2F50223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法定（授权）代表人：</w:t>
      </w:r>
    </w:p>
    <w:p w14:paraId="4C862E7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纳税人识别号：</w:t>
      </w:r>
    </w:p>
    <w:p w14:paraId="06025F0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开户银行：</w:t>
      </w:r>
    </w:p>
    <w:p w14:paraId="47C4540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账号：</w:t>
      </w:r>
    </w:p>
    <w:p w14:paraId="58358DC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签订地点：_____________</w:t>
      </w:r>
    </w:p>
    <w:p w14:paraId="1C4A59A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签订日期：____年___月___日</w:t>
      </w:r>
    </w:p>
    <w:p w14:paraId="26FF77D9">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350759D8">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第七章 电子投标文件格式</w:t>
      </w:r>
    </w:p>
    <w:p w14:paraId="145F51E6">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编制说明</w:t>
      </w:r>
    </w:p>
    <w:p w14:paraId="4D0B187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1、除招标文件另有规定外，本章中：</w:t>
      </w:r>
    </w:p>
    <w:p w14:paraId="074E35A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1.1涉及投标人的“全称”：</w:t>
      </w:r>
    </w:p>
    <w:p w14:paraId="58236CB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（1）不接受联合体投标的，指投标人的全称。</w:t>
      </w:r>
    </w:p>
    <w:p w14:paraId="76BEC0E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（2）接受联合体投标且投标人为联合体的，指牵头方的全称并加注（联合体牵头方），即应表述为：“牵头方的全称（联合体牵头方）”。</w:t>
      </w:r>
    </w:p>
    <w:p w14:paraId="151B153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1.2涉及投标人“加盖单位公章”：</w:t>
      </w:r>
    </w:p>
    <w:p w14:paraId="14DDD69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（1）不接受联合体投标的，指加盖投标人的单位公章。</w:t>
      </w:r>
    </w:p>
    <w:p w14:paraId="6718FCE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（2）接受联合体投标且投标人为联合体的，指加盖联合体牵头方的单位公章。</w:t>
      </w:r>
    </w:p>
    <w:p w14:paraId="1623837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1.3涉及“投标人代表签字”：</w:t>
      </w:r>
    </w:p>
    <w:p w14:paraId="3BEDB09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（1）不接受联合体投标的，指由投标人的单位负责人或其授权的委托代理人签字，由委托代理人签字的，应提供“单位授权书”。</w:t>
      </w:r>
    </w:p>
    <w:p w14:paraId="498A81A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（2）接受联合体投标且投标人为联合体的，指由联合体牵头方的单位负责人或其授权的委托代理人签字，由委托代理人签字的，应提供“单位授权书”。</w:t>
      </w:r>
    </w:p>
    <w:p w14:paraId="0C62688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1.4“其他组织”指合伙企业、非企业专业服务机构、个体工商户、农村承包经营户等。</w:t>
      </w:r>
    </w:p>
    <w:p w14:paraId="0877381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1.5“自然人”指具有完全民事行为能力、能够承担民事责任和义务的中国公民。</w:t>
      </w:r>
    </w:p>
    <w:p w14:paraId="65B69DA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2、除招标文件另有规定外，本章中“投标人的资格及资信证明文件”：</w:t>
      </w:r>
    </w:p>
    <w:p w14:paraId="589D52E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2.1投标人应按照招标文件第四章第1.3条第（2）款规定及本章规定进行编制，如有必要，可增加附页，附页作为资格及资信文件的组成部分。</w:t>
      </w:r>
    </w:p>
    <w:p w14:paraId="5D258E3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2.2接受联合体投标且投标人为联合体的，联合体中的各方均应按照本章第2.1条规定提交相应的全部资料。</w:t>
      </w:r>
    </w:p>
    <w:p w14:paraId="436A0B2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3、投标人对电子投标文件的索引应编制页码。</w:t>
      </w:r>
    </w:p>
    <w:p w14:paraId="3AAB9F3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4、本章提供格式仅供参考，投标人应根据自身实际情况制作电子投标文件。</w:t>
      </w:r>
    </w:p>
    <w:p w14:paraId="38F187EA">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0D30345F">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封面格式(资格及资信证明部分)</w:t>
      </w:r>
    </w:p>
    <w:p w14:paraId="55EC3672">
      <w:pPr>
        <w:pStyle w:val="11"/>
        <w:jc w:val="center"/>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福建省政府采购投标文件</w:t>
      </w:r>
    </w:p>
    <w:p w14:paraId="475010E0">
      <w:pPr>
        <w:pStyle w:val="11"/>
        <w:jc w:val="center"/>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（资格及资信证明部分）</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p>
    <w:p w14:paraId="5100075F">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（填写正本或副本）</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p>
    <w:p w14:paraId="76DA68E6">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项目名称：（由投标人填写）</w:t>
      </w:r>
    </w:p>
    <w:p w14:paraId="3C523018">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备案编号：（由投标人填写）</w:t>
      </w:r>
    </w:p>
    <w:p w14:paraId="54435724">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项目编号：（由投标人填写）</w:t>
      </w:r>
    </w:p>
    <w:p w14:paraId="62A10684">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所投采购包：（由投标人填写）</w:t>
      </w:r>
    </w:p>
    <w:p w14:paraId="3ED341B3">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投标人：（填写“全称”）</w:t>
      </w:r>
    </w:p>
    <w:p w14:paraId="20C70ABB">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（由投标人填写）年（由投标人填写）月</w:t>
      </w:r>
    </w:p>
    <w:p w14:paraId="12622472">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28E3702E">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索引</w:t>
      </w:r>
    </w:p>
    <w:p w14:paraId="1E3CF40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一、投标函</w:t>
      </w:r>
    </w:p>
    <w:p w14:paraId="1AEBBB3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二、投标人的资格及资信证明文件</w:t>
      </w:r>
    </w:p>
    <w:p w14:paraId="69FF16A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三、投标保证金</w:t>
      </w:r>
    </w:p>
    <w:p w14:paraId="0DF6C31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713EE15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资格及资信证明部分中不得出现报价部分的全部或部分的投标报价信息（或组成资料），否则资格审查不合格。（联合体协议及分包意向协议中的比例规定，不适用本条款）</w:t>
      </w:r>
    </w:p>
    <w:p w14:paraId="3B67D980">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69358730">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一、投标函</w:t>
      </w:r>
    </w:p>
    <w:p w14:paraId="7F3BA56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35B2E4B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兹收到贵单位关于</w:t>
      </w:r>
      <w:r>
        <w:rPr>
          <w:rFonts w:hint="eastAsia" w:ascii="宋体" w:hAnsi="宋体" w:eastAsia="宋体" w:cs="宋体"/>
          <w:color w:val="auto"/>
          <w:sz w:val="24"/>
          <w:szCs w:val="24"/>
          <w:u w:val="single"/>
        </w:rPr>
        <w:t xml:space="preserve">（填写“项目名称”） </w:t>
      </w:r>
      <w:r>
        <w:rPr>
          <w:rFonts w:hint="eastAsia" w:ascii="宋体" w:hAnsi="宋体" w:eastAsia="宋体" w:cs="宋体"/>
          <w:color w:val="auto"/>
          <w:sz w:val="24"/>
          <w:szCs w:val="24"/>
        </w:rPr>
        <w:t>项目</w:t>
      </w:r>
      <w:r>
        <w:rPr>
          <w:rFonts w:hint="eastAsia" w:ascii="宋体" w:hAnsi="宋体" w:eastAsia="宋体" w:cs="宋体"/>
          <w:color w:val="auto"/>
          <w:sz w:val="24"/>
          <w:szCs w:val="24"/>
          <w:u w:val="single"/>
        </w:rPr>
        <w:t xml:space="preserve">（项目编号：　　　　　） </w:t>
      </w:r>
      <w:r>
        <w:rPr>
          <w:rFonts w:hint="eastAsia" w:ascii="宋体" w:hAnsi="宋体" w:eastAsia="宋体" w:cs="宋体"/>
          <w:color w:val="auto"/>
          <w:sz w:val="24"/>
          <w:szCs w:val="24"/>
        </w:rPr>
        <w:t>的投标邀请，本投标人代表</w:t>
      </w:r>
      <w:r>
        <w:rPr>
          <w:rFonts w:hint="eastAsia" w:ascii="宋体" w:hAnsi="宋体" w:eastAsia="宋体" w:cs="宋体"/>
          <w:color w:val="auto"/>
          <w:sz w:val="24"/>
          <w:szCs w:val="24"/>
          <w:u w:val="single"/>
        </w:rPr>
        <w:t xml:space="preserve">（填写“全名”） </w:t>
      </w:r>
      <w:r>
        <w:rPr>
          <w:rFonts w:hint="eastAsia" w:ascii="宋体" w:hAnsi="宋体" w:eastAsia="宋体" w:cs="宋体"/>
          <w:color w:val="auto"/>
          <w:sz w:val="24"/>
          <w:szCs w:val="24"/>
        </w:rPr>
        <w:t>已获得我方正式授权并代表投标人（填写“全称”）参加投标，并提交电子投标文件。我方提交的全部电子投标文件由下述部分组成：</w:t>
      </w:r>
    </w:p>
    <w:p w14:paraId="5E1945A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（1）资格及资信证明部分</w:t>
      </w:r>
    </w:p>
    <w:p w14:paraId="46C84C9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①投标函</w:t>
      </w:r>
    </w:p>
    <w:p w14:paraId="5E4C913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②投标人的资格及资信证明文件</w:t>
      </w:r>
    </w:p>
    <w:p w14:paraId="1DEC97C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③投标保证金</w:t>
      </w:r>
    </w:p>
    <w:p w14:paraId="74C179A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（2）报价部分</w:t>
      </w:r>
    </w:p>
    <w:p w14:paraId="2C73AA8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①开标一览表</w:t>
      </w:r>
    </w:p>
    <w:p w14:paraId="13381CD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②投标分项报价表</w:t>
      </w:r>
    </w:p>
    <w:p w14:paraId="33D2783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③招标文件规定的价格扣除证明材料（若有）</w:t>
      </w:r>
    </w:p>
    <w:p w14:paraId="79658AB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④招标文件规定的加分证明材料（若有）</w:t>
      </w:r>
    </w:p>
    <w:p w14:paraId="4B80EAA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（3）技术商务部分</w:t>
      </w:r>
    </w:p>
    <w:p w14:paraId="46DC804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①标的说明一览表</w:t>
      </w:r>
    </w:p>
    <w:p w14:paraId="5A68C3B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②技术和服务要求响应表</w:t>
      </w:r>
    </w:p>
    <w:p w14:paraId="47FEC96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③商务条件响应表</w:t>
      </w:r>
    </w:p>
    <w:p w14:paraId="278B9F5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④投标人提交的其他资料（若有）</w:t>
      </w:r>
    </w:p>
    <w:p w14:paraId="5183AB0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根据本函，本投标人代表宣布我方保证遵守招标文件的全部规定，同时：</w:t>
      </w:r>
    </w:p>
    <w:p w14:paraId="27ADE3D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1、确认：</w:t>
      </w:r>
    </w:p>
    <w:p w14:paraId="393C559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1.1所投采购包的投标报价详见“开标一览表”及“投标分项报价表”。</w:t>
      </w:r>
    </w:p>
    <w:p w14:paraId="6AD551A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1.2我方已详细审查全部招标文件[包括但不限于：有关附件（若有）、澄清或修改（若有）等]，并自行承担因对全部招标文件理解不正确或误解而产生的相应后果和责任。</w:t>
      </w:r>
    </w:p>
    <w:p w14:paraId="445D174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2、承诺及声明：</w:t>
      </w:r>
    </w:p>
    <w:p w14:paraId="7AD5545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2.1我方具备招标文件第一章载明的“投标人的资格要求”且符合招标文件第三章载明的“二、投标人”之规定，否则投标无效。</w:t>
      </w:r>
    </w:p>
    <w:p w14:paraId="509C763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2.2我方提交的电子投标文件各组成部分的全部内容及资料是不可割离且真实、有效、准确、完整和不具有任何误导性的，否则产生不利后果由我方承担责任。</w:t>
      </w:r>
    </w:p>
    <w:p w14:paraId="0699E6E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2.3我方提供的标的价格不高于同期市场价格，否则产生不利后果由我方承担责任。</w:t>
      </w:r>
    </w:p>
    <w:p w14:paraId="0D1557A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2.4投标保证金：若出现招标文件第三章规定的不予退还情形，同意贵单位不予退还。</w:t>
      </w:r>
    </w:p>
    <w:p w14:paraId="4F33F2B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2.5投标有效期：按照招标文件第三章规定执行，并在招标文件第二章载明的期限内保持有效。</w:t>
      </w:r>
    </w:p>
    <w:p w14:paraId="7FAB390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2.6若中标，将按照招标文件、我方电子投标文件及政府采购合同履行责任和义务。</w:t>
      </w:r>
    </w:p>
    <w:p w14:paraId="7A8F9DC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2.7若贵单位要求，我方同意提供与本项目投标有关的一切资料、数据或文件，并完全理解贵单位不一定要接受最低的投标报价或收到的任何投标。</w:t>
      </w:r>
    </w:p>
    <w:p w14:paraId="0638C9C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2.8 我方承诺遵守《中华人民共和国劳动合同法》有关规定和《中华人民共和国妇女权益保障法 》中关于“劳动和社会保障权益”的有关要求。</w:t>
      </w:r>
    </w:p>
    <w:p w14:paraId="18BF85D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2.9我方承诺电子投标文件所提供的全部资料真实可靠，并接受评标委员会、采购人、采购代理机构、监管部门进一步审查其中任何资料真实性的要求。</w:t>
      </w:r>
    </w:p>
    <w:p w14:paraId="0874356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2.10除招标文件另有规定外，对于贵单位按照下述联络方式发出的任何信息或通知，均视为我方已收悉前述信息或通知的全部内容：</w:t>
      </w:r>
    </w:p>
    <w:p w14:paraId="76B840F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通信地址：                                        </w:t>
      </w:r>
    </w:p>
    <w:p w14:paraId="4A39493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邮编：                                           </w:t>
      </w:r>
    </w:p>
    <w:p w14:paraId="14D22CC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联系方法：（包括但不限于：联系人、联系电话、手机、传真、电子邮箱等）</w:t>
      </w:r>
    </w:p>
    <w:p w14:paraId="0283360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投标人：（全称并加盖单位公章）</w:t>
      </w:r>
    </w:p>
    <w:p w14:paraId="0D050E9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7BED9C7">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3B66087">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二、投标人的资格及资信证明文件</w:t>
      </w:r>
    </w:p>
    <w:p w14:paraId="76C736D8">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二-1单位授权书（若有）</w:t>
      </w:r>
    </w:p>
    <w:p w14:paraId="2DE166F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308C145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我方的单位负责人</w:t>
      </w:r>
      <w:r>
        <w:rPr>
          <w:rFonts w:hint="eastAsia" w:ascii="宋体" w:hAnsi="宋体" w:eastAsia="宋体" w:cs="宋体"/>
          <w:color w:val="auto"/>
          <w:sz w:val="24"/>
          <w:szCs w:val="24"/>
          <w:u w:val="single"/>
        </w:rPr>
        <w:t>（填写“单位负责人全名”）</w:t>
      </w:r>
      <w:r>
        <w:rPr>
          <w:rFonts w:hint="eastAsia" w:ascii="宋体" w:hAnsi="宋体" w:eastAsia="宋体" w:cs="宋体"/>
          <w:color w:val="auto"/>
          <w:sz w:val="24"/>
          <w:szCs w:val="24"/>
        </w:rPr>
        <w:t>授权</w:t>
      </w:r>
      <w:r>
        <w:rPr>
          <w:rFonts w:hint="eastAsia" w:ascii="宋体" w:hAnsi="宋体" w:eastAsia="宋体" w:cs="宋体"/>
          <w:color w:val="auto"/>
          <w:sz w:val="24"/>
          <w:szCs w:val="24"/>
          <w:u w:val="single"/>
        </w:rPr>
        <w:t>（填写“投标人代表全名”）</w:t>
      </w:r>
      <w:r>
        <w:rPr>
          <w:rFonts w:hint="eastAsia" w:ascii="宋体" w:hAnsi="宋体" w:eastAsia="宋体" w:cs="宋体"/>
          <w:color w:val="auto"/>
          <w:sz w:val="24"/>
          <w:szCs w:val="24"/>
        </w:rPr>
        <w:t>为投标人代表，代表我方参加</w:t>
      </w:r>
      <w:r>
        <w:rPr>
          <w:rFonts w:hint="eastAsia" w:ascii="宋体" w:hAnsi="宋体" w:eastAsia="宋体" w:cs="宋体"/>
          <w:color w:val="auto"/>
          <w:sz w:val="24"/>
          <w:szCs w:val="24"/>
          <w:u w:val="single"/>
        </w:rPr>
        <w:t>（填写“项目名称”）</w:t>
      </w:r>
      <w:r>
        <w:rPr>
          <w:rFonts w:hint="eastAsia" w:ascii="宋体" w:hAnsi="宋体" w:eastAsia="宋体" w:cs="宋体"/>
          <w:color w:val="auto"/>
          <w:sz w:val="24"/>
          <w:szCs w:val="24"/>
        </w:rPr>
        <w:t>项目（项目编号：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D399F5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投标人代表无转委权。特此授权。</w:t>
      </w:r>
    </w:p>
    <w:p w14:paraId="4878578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（以下无正文）</w:t>
      </w:r>
    </w:p>
    <w:p w14:paraId="672572D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单位负责人：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手机：</w:t>
      </w:r>
      <w:r>
        <w:rPr>
          <w:rFonts w:hint="eastAsia" w:ascii="宋体" w:hAnsi="宋体" w:eastAsia="宋体" w:cs="宋体"/>
          <w:color w:val="auto"/>
          <w:sz w:val="24"/>
          <w:szCs w:val="24"/>
          <w:u w:val="single"/>
        </w:rPr>
        <w:t>　　　　　</w:t>
      </w:r>
    </w:p>
    <w:p w14:paraId="3077FBE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投标人代表：</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手机：</w:t>
      </w:r>
      <w:r>
        <w:rPr>
          <w:rFonts w:hint="eastAsia" w:ascii="宋体" w:hAnsi="宋体" w:eastAsia="宋体" w:cs="宋体"/>
          <w:color w:val="auto"/>
          <w:sz w:val="24"/>
          <w:szCs w:val="24"/>
          <w:u w:val="single"/>
        </w:rPr>
        <w:t>　　　　　</w:t>
      </w:r>
    </w:p>
    <w:p w14:paraId="76AD41A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授权方</w:t>
      </w:r>
    </w:p>
    <w:p w14:paraId="1B0BC5D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4B40D223">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签署日期： 年 月 日</w:t>
      </w:r>
    </w:p>
    <w:p w14:paraId="59772B5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附：单位负责人、投标人代表的身份证正反面复印件</w:t>
      </w:r>
    </w:p>
    <w:p w14:paraId="169BA95F">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要求：真实有效且内容完整、清晰、整洁。</w:t>
      </w:r>
    </w:p>
    <w:p w14:paraId="120A00A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0A3E9CF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1、企业（银行、保险、石油石化、电力、电信等行业除外）、事业单位和社会团体法人的“单位负责人”指法定代表人，即与实际提交的“营业执照等证明文件”载明的一致。</w:t>
      </w:r>
    </w:p>
    <w:p w14:paraId="1CE008C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5F80680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3、投标人（自然人除外）：若投标人代表为单位授权的委托代理人，应提供本授权书；若投标人代表为单位负责人，应在此项下提交其身份证正反面复印件，可不提供本授权书。</w:t>
      </w:r>
    </w:p>
    <w:p w14:paraId="4C9E7B1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4、投标人为自然人的，可不填写本授权书。</w:t>
      </w:r>
    </w:p>
    <w:p w14:paraId="4043D23D">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02354587">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二-2 证明材料</w:t>
      </w:r>
    </w:p>
    <w:p w14:paraId="762B8CD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18AFE7BD">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二-2-1 福建省政府采购供应商资格承诺函</w:t>
      </w:r>
    </w:p>
    <w:p w14:paraId="2F9E29A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359F80C3">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单位名称(自然人姓名):</w:t>
      </w:r>
    </w:p>
    <w:p w14:paraId="02C238F2">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统一社会信用代码(自然人身份证号码):</w:t>
      </w:r>
    </w:p>
    <w:p w14:paraId="31900D32">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法定代表人(负责人):</w:t>
      </w:r>
    </w:p>
    <w:p w14:paraId="011EE4DC">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联系地址和电话:</w:t>
      </w:r>
    </w:p>
    <w:p w14:paraId="52E80FC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我单位(本人)自愿参加本次政府采购活动，严格遵守《中华人民共和国政府采购法》及相关法律法规，坚守公开、公平公正和诚实信用等原则，依法诚信经营，并郑重承诺:</w:t>
      </w:r>
    </w:p>
    <w:p w14:paraId="1F53C89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一、我单位(本人)具备采购文件要求以及《中华人民共和国政府采购法》第二十二条规定的条件:</w:t>
      </w:r>
    </w:p>
    <w:p w14:paraId="55E88A51">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1.具有独立承担民事责任的能力;</w:t>
      </w:r>
    </w:p>
    <w:p w14:paraId="60927FCE">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2.具有良好的商业信誉和健全的财务会计制度;</w:t>
      </w:r>
    </w:p>
    <w:p w14:paraId="6EB1818A">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3.具有履行合同所必需的设备和专业技术能力;</w:t>
      </w:r>
    </w:p>
    <w:p w14:paraId="22B679DD">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4.有依法缴纳税收和社会保障资金的良好记录;</w:t>
      </w:r>
    </w:p>
    <w:p w14:paraId="2CB5DF00">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5.参加政府采购活动前三年内，在经营活动中没有重大违法记录；</w:t>
      </w:r>
    </w:p>
    <w:p w14:paraId="33A25C4E">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6.法律、行政法规规定的其他条件。</w:t>
      </w:r>
    </w:p>
    <w:p w14:paraId="5553038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F933D2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7D6E51A">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供应商：</w:t>
      </w:r>
      <w:r>
        <w:rPr>
          <w:rFonts w:hint="eastAsia" w:ascii="宋体" w:hAnsi="宋体" w:eastAsia="宋体" w:cs="宋体"/>
          <w:color w:val="auto"/>
          <w:sz w:val="24"/>
          <w:szCs w:val="24"/>
          <w:u w:val="single"/>
        </w:rPr>
        <w:t>名称(单位公章)</w:t>
      </w:r>
    </w:p>
    <w:p w14:paraId="49317A64">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5ADD989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w:t>
      </w:r>
    </w:p>
    <w:p w14:paraId="296C6D11">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1.我单位(本人)专指参加政府采购活动的供应商(含自然人)；</w:t>
      </w:r>
    </w:p>
    <w:p w14:paraId="1442D3B9">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2.资格承诺的供应商应在投标(响应)文件中按此模板提供承诺函，否则，视为未按照招标文件规定提交投标人的资格及资信文件，按资格审查不通过处理。</w:t>
      </w:r>
    </w:p>
    <w:p w14:paraId="3AE84EA2">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22DDB580">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二-2-2 资格证明材料</w:t>
      </w:r>
    </w:p>
    <w:p w14:paraId="2EFAACFB">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营业执照等证明文件</w:t>
      </w:r>
    </w:p>
    <w:p w14:paraId="47D11E5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031BFCC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）投标人为法人（包括企业、事业单位和社会团体）的</w:t>
      </w:r>
    </w:p>
    <w:p w14:paraId="6849407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现附上由</w:t>
      </w:r>
      <w:r>
        <w:rPr>
          <w:rFonts w:hint="eastAsia" w:ascii="宋体" w:hAnsi="宋体" w:eastAsia="宋体" w:cs="宋体"/>
          <w:color w:val="auto"/>
          <w:sz w:val="24"/>
          <w:szCs w:val="24"/>
          <w:u w:val="single"/>
        </w:rPr>
        <w:t>（（填写“签发机关全称”）</w:t>
      </w:r>
      <w:r>
        <w:rPr>
          <w:rFonts w:hint="eastAsia" w:ascii="宋体" w:hAnsi="宋体" w:eastAsia="宋体" w:cs="宋体"/>
          <w:color w:val="auto"/>
          <w:sz w:val="24"/>
          <w:szCs w:val="24"/>
        </w:rPr>
        <w:t>签发的我方统一社会信用代码（请填写法人的具体证照名称）复印件，该证明材料真实有效，否则我方负全部责任。</w:t>
      </w:r>
    </w:p>
    <w:p w14:paraId="6DA2740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）投标人为非法人（包括其他组织、自然人）的</w:t>
      </w:r>
    </w:p>
    <w:p w14:paraId="7E473EC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□现附上由</w:t>
      </w:r>
      <w:r>
        <w:rPr>
          <w:rFonts w:hint="eastAsia" w:ascii="宋体" w:hAnsi="宋体" w:eastAsia="宋体" w:cs="宋体"/>
          <w:color w:val="auto"/>
          <w:sz w:val="24"/>
          <w:szCs w:val="24"/>
          <w:u w:val="single"/>
        </w:rPr>
        <w:t>（（填写“签发机关全称”）</w:t>
      </w:r>
      <w:r>
        <w:rPr>
          <w:rFonts w:hint="eastAsia" w:ascii="宋体" w:hAnsi="宋体" w:eastAsia="宋体" w:cs="宋体"/>
          <w:color w:val="auto"/>
          <w:sz w:val="24"/>
          <w:szCs w:val="24"/>
        </w:rPr>
        <w:t>签发的我方（请填写非自然人的非法人的具体证照名称）复印件，该证明材料真实有效，否则我方负全部责任。</w:t>
      </w:r>
    </w:p>
    <w:p w14:paraId="2D1C998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□现附上由</w:t>
      </w:r>
      <w:r>
        <w:rPr>
          <w:rFonts w:hint="eastAsia" w:ascii="宋体" w:hAnsi="宋体" w:eastAsia="宋体" w:cs="宋体"/>
          <w:color w:val="auto"/>
          <w:sz w:val="24"/>
          <w:szCs w:val="24"/>
          <w:u w:val="single"/>
        </w:rPr>
        <w:t>（（填写“签发机关全称”）</w:t>
      </w:r>
      <w:r>
        <w:rPr>
          <w:rFonts w:hint="eastAsia" w:ascii="宋体" w:hAnsi="宋体" w:eastAsia="宋体" w:cs="宋体"/>
          <w:color w:val="auto"/>
          <w:sz w:val="24"/>
          <w:szCs w:val="24"/>
        </w:rPr>
        <w:t>签发的我方（请填写自然人的身份证件名称）复印件，该证明材料真实有效，否则我方负全部责任。</w:t>
      </w:r>
    </w:p>
    <w:p w14:paraId="23B102D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2CA4F93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1、请投标人按照实际情况编制填写，在相应的（）中打“√”并选择相应的“□”（若有）后，再按照本格式的要求提供相应证明材料的复印件。</w:t>
      </w:r>
    </w:p>
    <w:p w14:paraId="577C3EB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120CE173">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434EBA3A">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4875E17B">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F95CD54">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财务状况报告（财务报告、或资信证明）</w:t>
      </w:r>
    </w:p>
    <w:p w14:paraId="4E78EC1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45862DB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）投标人提供财务报告的</w:t>
      </w:r>
    </w:p>
    <w:p w14:paraId="3DDEF72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□企业适用：现附上我方</w:t>
      </w:r>
      <w:r>
        <w:rPr>
          <w:rFonts w:hint="eastAsia" w:ascii="宋体" w:hAnsi="宋体" w:eastAsia="宋体" w:cs="宋体"/>
          <w:color w:val="auto"/>
          <w:sz w:val="24"/>
          <w:szCs w:val="24"/>
          <w:u w:val="single"/>
        </w:rPr>
        <w:t>（填写“具体的年度、或半年度、季度”）</w:t>
      </w:r>
      <w:r>
        <w:rPr>
          <w:rFonts w:hint="eastAsia" w:ascii="宋体" w:hAnsi="宋体" w:eastAsia="宋体" w:cs="宋体"/>
          <w:color w:val="auto"/>
          <w:sz w:val="24"/>
          <w:szCs w:val="24"/>
        </w:rPr>
        <w:t>财务报告复印件，包括资产负债表、利润表、现金流量表、所有者权益变动表（若有）及其附注（若有）、会计师事务所营业执照和注册会计师资格证书，上述证明材料真实有效，否则我方负全部责任。</w:t>
      </w:r>
    </w:p>
    <w:p w14:paraId="70773CE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□事业单位适用：现附上我方</w:t>
      </w:r>
      <w:r>
        <w:rPr>
          <w:rFonts w:hint="eastAsia" w:ascii="宋体" w:hAnsi="宋体" w:eastAsia="宋体" w:cs="宋体"/>
          <w:color w:val="auto"/>
          <w:sz w:val="24"/>
          <w:szCs w:val="24"/>
          <w:u w:val="single"/>
        </w:rPr>
        <w:t>（填写“具体的年度、或半年度、或季度”）</w:t>
      </w:r>
      <w:r>
        <w:rPr>
          <w:rFonts w:hint="eastAsia" w:ascii="宋体" w:hAnsi="宋体" w:eastAsia="宋体" w:cs="宋体"/>
          <w:color w:val="auto"/>
          <w:sz w:val="24"/>
          <w:szCs w:val="24"/>
        </w:rPr>
        <w:t>财务报告复印件，包括资产负债表、收入支出表（或收入费用表）、财政补助收入支出表（若有）、会计师事务所营业执照和注册会计师资格证书，上述证明材料真实有效，否则我方负全部责任。</w:t>
      </w:r>
    </w:p>
    <w:p w14:paraId="1721086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□社会团体、民办非企适用：现附上我方</w:t>
      </w:r>
      <w:r>
        <w:rPr>
          <w:rFonts w:hint="eastAsia" w:ascii="宋体" w:hAnsi="宋体" w:eastAsia="宋体" w:cs="宋体"/>
          <w:color w:val="auto"/>
          <w:sz w:val="24"/>
          <w:szCs w:val="24"/>
          <w:u w:val="single"/>
        </w:rPr>
        <w:t>（填写“具体的年度、或半年度、或季度”）</w:t>
      </w:r>
      <w:r>
        <w:rPr>
          <w:rFonts w:hint="eastAsia" w:ascii="宋体" w:hAnsi="宋体" w:eastAsia="宋体" w:cs="宋体"/>
          <w:color w:val="auto"/>
          <w:sz w:val="24"/>
          <w:szCs w:val="24"/>
        </w:rPr>
        <w:t>财务报告复印件，包括资产负债表、业务活动表、现金流量表、会计师事务所营业执照和注册会计师资格证书，上述证明材料真实有效，否则我方负全部责任。</w:t>
      </w:r>
    </w:p>
    <w:p w14:paraId="2DEA884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）投标人提供资信证明的</w:t>
      </w:r>
    </w:p>
    <w:p w14:paraId="59EE8CA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□非自然人适用（包括企业、事业单位、社会团体和其他组织）：现附上我方银行：</w:t>
      </w:r>
      <w:r>
        <w:rPr>
          <w:rFonts w:hint="eastAsia" w:ascii="宋体" w:hAnsi="宋体" w:eastAsia="宋体" w:cs="宋体"/>
          <w:color w:val="auto"/>
          <w:sz w:val="24"/>
          <w:szCs w:val="24"/>
          <w:u w:val="single"/>
        </w:rPr>
        <w:t>（填写“开户银行全称”）</w:t>
      </w:r>
      <w:r>
        <w:rPr>
          <w:rFonts w:hint="eastAsia" w:ascii="宋体" w:hAnsi="宋体" w:eastAsia="宋体" w:cs="宋体"/>
          <w:color w:val="auto"/>
          <w:sz w:val="24"/>
          <w:szCs w:val="24"/>
        </w:rPr>
        <w:t>出具的资信证明复印件，上述证明材料真实有效，否则我方负全部责任。</w:t>
      </w:r>
    </w:p>
    <w:p w14:paraId="61C5260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□自然人适用：现附上我方银行</w:t>
      </w:r>
      <w:r>
        <w:rPr>
          <w:rFonts w:hint="eastAsia" w:ascii="宋体" w:hAnsi="宋体" w:eastAsia="宋体" w:cs="宋体"/>
          <w:color w:val="auto"/>
          <w:sz w:val="24"/>
          <w:szCs w:val="24"/>
          <w:u w:val="single"/>
        </w:rPr>
        <w:t>：（填写自然人的“个人账户的开户银行全称”）</w:t>
      </w:r>
      <w:r>
        <w:rPr>
          <w:rFonts w:hint="eastAsia" w:ascii="宋体" w:hAnsi="宋体" w:eastAsia="宋体" w:cs="宋体"/>
          <w:color w:val="auto"/>
          <w:sz w:val="24"/>
          <w:szCs w:val="24"/>
        </w:rPr>
        <w:t>出具的资信证明复印件，上述证明材料真实有效，否则我方负全部责任。</w:t>
      </w:r>
    </w:p>
    <w:p w14:paraId="0F77125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17E7EF4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1、请投标人按照实际情况编制填写，在相应的（）中打“√”并选择相应的“□”（若有）后，再按照本格式的要求提供相应证明材料的复印件。</w:t>
      </w:r>
    </w:p>
    <w:p w14:paraId="6FED5B9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2、投标人提供的财务报告复印件（成立年限按照投标截止时间推算）应符合下列规定：</w:t>
      </w:r>
    </w:p>
    <w:p w14:paraId="283C96C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2.1成立年限满1年及以上的投标人，提供经审计的招标文件规定的年度财务报告。</w:t>
      </w:r>
    </w:p>
    <w:p w14:paraId="5A32F93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2.2成立年限满半年但不足1年的投标人，提供该半年度中任一季度的季度财务报告或该半年度的半年度财务报告。</w:t>
      </w:r>
    </w:p>
    <w:p w14:paraId="56EB0B7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C3CCD55">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77E2DF8F">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4BB76C75">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15E63A27">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依法缴纳税收证明材料</w:t>
      </w:r>
    </w:p>
    <w:p w14:paraId="502E404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5A24492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1、依法缴纳税收的投标人</w:t>
      </w:r>
    </w:p>
    <w:p w14:paraId="1C0B993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）法人（包括企业、事业单位和社会团体）的</w:t>
      </w:r>
    </w:p>
    <w:p w14:paraId="0F1BCCB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现附上自</w:t>
      </w:r>
      <w:r>
        <w:rPr>
          <w:rFonts w:hint="eastAsia" w:ascii="宋体" w:hAnsi="宋体" w:eastAsia="宋体" w:cs="宋体"/>
          <w:color w:val="auto"/>
          <w:sz w:val="24"/>
          <w:szCs w:val="24"/>
          <w:u w:val="single"/>
        </w:rPr>
        <w:t>　　年　　月　　日</w:t>
      </w:r>
      <w:r>
        <w:rPr>
          <w:rFonts w:hint="eastAsia" w:ascii="宋体" w:hAnsi="宋体" w:eastAsia="宋体" w:cs="宋体"/>
          <w:color w:val="auto"/>
          <w:sz w:val="24"/>
          <w:szCs w:val="24"/>
        </w:rPr>
        <w:t>至</w:t>
      </w:r>
      <w:r>
        <w:rPr>
          <w:rFonts w:hint="eastAsia" w:ascii="宋体" w:hAnsi="宋体" w:eastAsia="宋体" w:cs="宋体"/>
          <w:color w:val="auto"/>
          <w:sz w:val="24"/>
          <w:szCs w:val="24"/>
          <w:u w:val="single"/>
        </w:rPr>
        <w:t>　　年　　月　　日</w:t>
      </w:r>
      <w:r>
        <w:rPr>
          <w:rFonts w:hint="eastAsia" w:ascii="宋体" w:hAnsi="宋体" w:eastAsia="宋体" w:cs="宋体"/>
          <w:color w:val="auto"/>
          <w:sz w:val="24"/>
          <w:szCs w:val="24"/>
        </w:rPr>
        <w:t>期间我方缴纳（包括但不限于税务机关出具的专用收据、税收缴纳证明或税收代缴银行的缴款收讫凭证）等税收凭据复印件，上述证明材料真实有效，否则我方负全部责任。</w:t>
      </w:r>
    </w:p>
    <w:p w14:paraId="3A9BCE0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）非法人（包括其他组织、自然人）的</w:t>
      </w:r>
    </w:p>
    <w:p w14:paraId="16DDEBA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现附上自</w:t>
      </w:r>
      <w:r>
        <w:rPr>
          <w:rFonts w:hint="eastAsia" w:ascii="宋体" w:hAnsi="宋体" w:eastAsia="宋体" w:cs="宋体"/>
          <w:color w:val="auto"/>
          <w:sz w:val="24"/>
          <w:szCs w:val="24"/>
          <w:u w:val="single"/>
        </w:rPr>
        <w:t>　　年　　月　　日</w:t>
      </w:r>
      <w:r>
        <w:rPr>
          <w:rFonts w:hint="eastAsia" w:ascii="宋体" w:hAnsi="宋体" w:eastAsia="宋体" w:cs="宋体"/>
          <w:color w:val="auto"/>
          <w:sz w:val="24"/>
          <w:szCs w:val="24"/>
        </w:rPr>
        <w:t>至</w:t>
      </w:r>
      <w:r>
        <w:rPr>
          <w:rFonts w:hint="eastAsia" w:ascii="宋体" w:hAnsi="宋体" w:eastAsia="宋体" w:cs="宋体"/>
          <w:color w:val="auto"/>
          <w:sz w:val="24"/>
          <w:szCs w:val="24"/>
          <w:u w:val="single"/>
        </w:rPr>
        <w:t>　　年　　月　　日</w:t>
      </w:r>
      <w:r>
        <w:rPr>
          <w:rFonts w:hint="eastAsia" w:ascii="宋体" w:hAnsi="宋体" w:eastAsia="宋体" w:cs="宋体"/>
          <w:color w:val="auto"/>
          <w:sz w:val="24"/>
          <w:szCs w:val="24"/>
        </w:rPr>
        <w:t>期间我方缴纳（包括但不限于税务机关出具的专用收据、税收缴纳证明或税收代缴银行的缴款收讫凭证）等税收凭据复印件，上述证明材料真实有效，否则我方负全部责任。</w:t>
      </w:r>
    </w:p>
    <w:p w14:paraId="7B56207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2、依法免税的投标人</w:t>
      </w:r>
    </w:p>
    <w:p w14:paraId="69A3381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）现附上我方依法免税的证明材料复印件，上述证明材料真实有效，否则我方负全部责任。</w:t>
      </w:r>
    </w:p>
    <w:p w14:paraId="0EC5C40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6B3A47D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1、请投标人按照实际情况编制填写，在相应的（）中打“√”，并按照本格式的要求提供相应证明材料的复印件。</w:t>
      </w:r>
    </w:p>
    <w:p w14:paraId="2AD6E73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2、投标人提供的税收缴纳凭据复印件应符合下列规定：</w:t>
      </w:r>
    </w:p>
    <w:p w14:paraId="5EC88F4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2.1投标截止时间前（不含投标截止时间的当月）已依法缴纳税收的投标人，提供投标截止时间前六个月（不含投标截止时间的当月）中任一月份的税收缴纳凭据复印件。</w:t>
      </w:r>
    </w:p>
    <w:p w14:paraId="7D7A0C8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2.2投标截止时间的当月成立的投标人，视同满足本项资格条件要求。</w:t>
      </w:r>
    </w:p>
    <w:p w14:paraId="6BC7B76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3、若为依法免税范围的投标人，提供依法免税证明材料的，视同满足本项资格条件要求。</w:t>
      </w:r>
    </w:p>
    <w:p w14:paraId="3E16A8E5">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66829CD7">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4B99A8BF">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5219BD10">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依法缴纳社会保障资金证明材料</w:t>
      </w:r>
    </w:p>
    <w:p w14:paraId="75AA5D3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150ABF3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1、依法缴纳社会保障资金的投标人</w:t>
      </w:r>
    </w:p>
    <w:p w14:paraId="724255C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）法人（包括企业、事业单位和社会团体）的</w:t>
      </w:r>
    </w:p>
    <w:p w14:paraId="52C1C16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现附上自</w:t>
      </w:r>
      <w:r>
        <w:rPr>
          <w:rFonts w:hint="eastAsia" w:ascii="宋体" w:hAnsi="宋体" w:eastAsia="宋体" w:cs="宋体"/>
          <w:color w:val="auto"/>
          <w:sz w:val="24"/>
          <w:szCs w:val="24"/>
          <w:u w:val="single"/>
        </w:rPr>
        <w:t>　　年　　月　　日</w:t>
      </w:r>
      <w:r>
        <w:rPr>
          <w:rFonts w:hint="eastAsia" w:ascii="宋体" w:hAnsi="宋体" w:eastAsia="宋体" w:cs="宋体"/>
          <w:color w:val="auto"/>
          <w:sz w:val="24"/>
          <w:szCs w:val="24"/>
        </w:rPr>
        <w:t>至</w:t>
      </w:r>
      <w:r>
        <w:rPr>
          <w:rFonts w:hint="eastAsia" w:ascii="宋体" w:hAnsi="宋体" w:eastAsia="宋体" w:cs="宋体"/>
          <w:color w:val="auto"/>
          <w:sz w:val="24"/>
          <w:szCs w:val="24"/>
          <w:u w:val="single"/>
        </w:rPr>
        <w:t>　　年　　月　　日</w:t>
      </w:r>
      <w:r>
        <w:rPr>
          <w:rFonts w:hint="eastAsia" w:ascii="宋体" w:hAnsi="宋体" w:eastAsia="宋体" w:cs="宋体"/>
          <w:color w:val="auto"/>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559412B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）非法人（包括其他组织、自然人）的</w:t>
      </w:r>
    </w:p>
    <w:p w14:paraId="1E0DE13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自</w:t>
      </w:r>
      <w:r>
        <w:rPr>
          <w:rFonts w:hint="eastAsia" w:ascii="宋体" w:hAnsi="宋体" w:eastAsia="宋体" w:cs="宋体"/>
          <w:color w:val="auto"/>
          <w:sz w:val="24"/>
          <w:szCs w:val="24"/>
          <w:u w:val="single"/>
        </w:rPr>
        <w:t>　　年　　月　　日</w:t>
      </w:r>
      <w:r>
        <w:rPr>
          <w:rFonts w:hint="eastAsia" w:ascii="宋体" w:hAnsi="宋体" w:eastAsia="宋体" w:cs="宋体"/>
          <w:color w:val="auto"/>
          <w:sz w:val="24"/>
          <w:szCs w:val="24"/>
        </w:rPr>
        <w:t>至</w:t>
      </w:r>
      <w:r>
        <w:rPr>
          <w:rFonts w:hint="eastAsia" w:ascii="宋体" w:hAnsi="宋体" w:eastAsia="宋体" w:cs="宋体"/>
          <w:color w:val="auto"/>
          <w:sz w:val="24"/>
          <w:szCs w:val="24"/>
          <w:u w:val="single"/>
        </w:rPr>
        <w:t>　　年　　月　　日</w:t>
      </w:r>
      <w:r>
        <w:rPr>
          <w:rFonts w:hint="eastAsia" w:ascii="宋体" w:hAnsi="宋体" w:eastAsia="宋体" w:cs="宋体"/>
          <w:color w:val="auto"/>
          <w:sz w:val="24"/>
          <w:szCs w:val="24"/>
        </w:rPr>
        <w:t>我方缴纳的社会保险凭据（限：税务机关/社会保障资金管理机关的专用收据或社会保险缴纳清单，或社会保险的银行缴款收讫凭证）复印件，上述证明材料真实有效，否则我方负全部责任。</w:t>
      </w:r>
    </w:p>
    <w:p w14:paraId="3130BE4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2、依法不需要缴纳或暂缓缴纳社会保障资金的投标人</w:t>
      </w:r>
    </w:p>
    <w:p w14:paraId="2AFEE9C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）现附上我方依法不需要缴纳或暂缓缴纳社会保障资金证明材料复印件，上述证明材料真实有效，否则我方负全部责任。</w:t>
      </w:r>
    </w:p>
    <w:p w14:paraId="0ED8A90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017FAD9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1、请投标人按照实际情况编制填写，在相应的（）中打“√”，并按照本格式的要求提供相应证明材料的复印件。</w:t>
      </w:r>
    </w:p>
    <w:p w14:paraId="087F3FA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2、投标人提供的社会保障资金缴纳凭据复印件应符合下列规定：</w:t>
      </w:r>
    </w:p>
    <w:p w14:paraId="13AD69E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2.1投标截止时间前（不含投标截止时间的当月）已依法缴纳社会保障资金的投标人，提供投标截止时间前六个月（不含投标截止时间的当月）中任一月份的社会保障资金缴纳凭据复印件。</w:t>
      </w:r>
    </w:p>
    <w:p w14:paraId="6A087F1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2.2投标截止时间的当月成立的投标人，视同满足本项资格条件要求。</w:t>
      </w:r>
    </w:p>
    <w:p w14:paraId="7A94A9D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3、若为依法不需要缴纳或暂缓缴纳社会保障资金的投标人，提供依法不需要缴纳或暂缓缴纳社会保障资金证明材料的，视同满足本项资格条件要求。</w:t>
      </w:r>
    </w:p>
    <w:p w14:paraId="42AE77A6">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4D52F7D1">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058FDC0E">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7C2552F2">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具备履行合同所必需设备和专业技术能力的声明函（若有）</w:t>
      </w:r>
    </w:p>
    <w:p w14:paraId="1929801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59FBECD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我方具备履行合同所必需的设备和专业技术能力，否则产生不利后果由我方承担责任。</w:t>
      </w:r>
    </w:p>
    <w:p w14:paraId="711CD2E6">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特此声明。</w:t>
      </w:r>
    </w:p>
    <w:p w14:paraId="090B2B1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74B0251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1、招标文件未要求投标人提供“具备履行合同所必需的设备和专业技术能力专项证明材料”的，投标人应提供本声明函。</w:t>
      </w:r>
    </w:p>
    <w:p w14:paraId="4A77AB1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2、招标文件要求投标人提供“具备履行合同所必需的设备和专业技术能力专项证明材料”的，投标人可不提供本声明函。</w:t>
      </w:r>
    </w:p>
    <w:p w14:paraId="187D34E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3、请投标人根据实际情况如实声明，否则视为提供虚假材料。</w:t>
      </w:r>
    </w:p>
    <w:p w14:paraId="4E84E0CD">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494CFEF9">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593AF343">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7BA1DA39">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参加采购活动前三年内在经营活动中没有重大违法记录书面声明</w:t>
      </w:r>
    </w:p>
    <w:p w14:paraId="725ECB9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03B05E0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14:paraId="0695B51E">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特此声明。</w:t>
      </w:r>
    </w:p>
    <w:p w14:paraId="2E9A41E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745CBCA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B4477F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请投标人根据实际情况如实声明，否则视为提供虚假材料。</w:t>
      </w:r>
    </w:p>
    <w:p w14:paraId="59101133">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139E9D06">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4BCB4D78">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870095D">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二-3信用记录查询提示</w:t>
      </w:r>
    </w:p>
    <w:p w14:paraId="5F4B60C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1、由资格审查小组通过网站查询并打印投标人的信用记录。</w:t>
      </w:r>
    </w:p>
    <w:p w14:paraId="2A7CB21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EC3DDE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2686C02D">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6074A1C7">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二-4中小企业声明函</w:t>
      </w:r>
    </w:p>
    <w:p w14:paraId="026739FA">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（以资格条件落实中小企业扶持政策时适用，若有）</w:t>
      </w:r>
    </w:p>
    <w:p w14:paraId="3C89CFC1">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中小企业声明函（货物）</w:t>
      </w:r>
    </w:p>
    <w:p w14:paraId="47A9B79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本公司（联合体）郑重声明，根据《政府采购促进中小企业发展管理办法》（财库﹝2020﹞46 号）的规定，本公司（联合体）参加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采购活动，提供的货物全部由符合政策要求的中小企业制造。相关企业（含联合体中的中小企业、签订分包意向协议的中小企业）的具体情况如下：</w:t>
      </w:r>
    </w:p>
    <w:p w14:paraId="1168989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 xml:space="preserve"> （标的名称） </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行业；制造商为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万元¹，属于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5CDDC22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 xml:space="preserve"> （标的名称） </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行业；制造商为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1715A06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4BD6439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以上企业，不属于大企业的分支机构，不存在控股股东为大企业的情形，也不存在与大企业的负责人为同一人的情形。</w:t>
      </w:r>
    </w:p>
    <w:p w14:paraId="037217E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67891C42">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64150C06">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7973573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7C381D4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1、从业人员、营业收入、资产总额填报上一年度数据，无上一年度数据的新成立企业可不填报。</w:t>
      </w:r>
    </w:p>
    <w:p w14:paraId="4FFB54E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5B0576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D45CCEE">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5117F72F">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中小企业声明函（工程、服务）</w:t>
      </w:r>
    </w:p>
    <w:p w14:paraId="1E2BBAC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本公司（联合体）郑重声明，根据《政府采购促进中小企业发展管理办法》（财库﹝2020﹞46 号）的规定，本公司（联合体）参加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0397810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；承建（承接）企业为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万元¹，属于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6E03B49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；承建（承接）企业为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1DC0A36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1ACC0C6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以上企业，不属于大企业的分支机构，不存在控股股东为大企业的情形，也不存在与大企业的负责人为同一人的情形。</w:t>
      </w:r>
    </w:p>
    <w:p w14:paraId="453DCB3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65E2CE2C">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5C60C20C">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34CCA24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65D75AC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1、从业人员、营业收入、资产总额填报上一年度数据，无上一年度数据的新成立企业可不填报。</w:t>
      </w:r>
    </w:p>
    <w:p w14:paraId="5618700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26F713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5A212CD">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584AA318">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残疾人福利性单位声明函</w:t>
      </w:r>
    </w:p>
    <w:p w14:paraId="176D00EB">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（以资格条件落实中小企业扶持政策时适用，若有）</w:t>
      </w:r>
    </w:p>
    <w:p w14:paraId="56EF1BF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7EE76B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9F534A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）由本投标人承建的（填写“所投采购包、品目号”）工程</w:t>
      </w:r>
    </w:p>
    <w:p w14:paraId="01A44DF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）由本投标人承接的（填写“所投采购包、品目号”）服务；</w:t>
      </w:r>
    </w:p>
    <w:p w14:paraId="271E329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本投标人对上述声明的真实性负责。如有虚假，将依法承担相应责任。</w:t>
      </w:r>
    </w:p>
    <w:p w14:paraId="2402863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备注：</w:t>
      </w:r>
    </w:p>
    <w:p w14:paraId="22EC653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1、请投标人按照实际情况编制填写本声明函，并在相应的（）中打“√”。</w:t>
      </w:r>
    </w:p>
    <w:p w14:paraId="1D82CD1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2、若《残疾人福利性单位声明函》内容不真实，视为提供虚假材料。</w:t>
      </w:r>
    </w:p>
    <w:p w14:paraId="4558E6D0">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106B024F">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2845B2A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附：</w:t>
      </w:r>
    </w:p>
    <w:p w14:paraId="73AFB670">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监狱企业证明材料</w:t>
      </w:r>
    </w:p>
    <w:p w14:paraId="6C6E4CF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投标人为监狱企业，提供本单位制造的货物（承接的服务），并在电子投标文件中提供省级以上监狱管理局、戒毒管理局（含新疆生产建设兵团）出具的属于监狱企业的证明文件。</w:t>
      </w:r>
    </w:p>
    <w:p w14:paraId="725E5EF6">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590C5F16">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二-5联合体协议（若有）</w:t>
      </w:r>
    </w:p>
    <w:p w14:paraId="5BF3315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（采购人或采购代理机构）</w:t>
      </w:r>
    </w:p>
    <w:p w14:paraId="638AD9B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兹有</w:t>
      </w:r>
      <w:r>
        <w:rPr>
          <w:rFonts w:hint="eastAsia" w:ascii="宋体" w:hAnsi="宋体" w:eastAsia="宋体" w:cs="宋体"/>
          <w:color w:val="auto"/>
          <w:sz w:val="24"/>
          <w:szCs w:val="24"/>
          <w:u w:val="single"/>
        </w:rPr>
        <w:t>（填写“联合体中各方的全称”，各方的全称之间请用“、”分割）</w:t>
      </w:r>
      <w:r>
        <w:rPr>
          <w:rFonts w:hint="eastAsia" w:ascii="宋体" w:hAnsi="宋体" w:eastAsia="宋体" w:cs="宋体"/>
          <w:color w:val="auto"/>
          <w:sz w:val="24"/>
          <w:szCs w:val="24"/>
        </w:rPr>
        <w:t>自愿组成联合体，共同参加</w:t>
      </w:r>
      <w:r>
        <w:rPr>
          <w:rFonts w:hint="eastAsia" w:ascii="宋体" w:hAnsi="宋体" w:eastAsia="宋体" w:cs="宋体"/>
          <w:color w:val="auto"/>
          <w:sz w:val="24"/>
          <w:szCs w:val="24"/>
          <w:u w:val="single"/>
        </w:rPr>
        <w:t>（填写“项目名称”）</w:t>
      </w:r>
      <w:r>
        <w:rPr>
          <w:rFonts w:hint="eastAsia" w:ascii="宋体" w:hAnsi="宋体" w:eastAsia="宋体" w:cs="宋体"/>
          <w:color w:val="auto"/>
          <w:sz w:val="24"/>
          <w:szCs w:val="24"/>
        </w:rPr>
        <w:t xml:space="preserve"> 项目（项目编号：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）的投标。现就联合体参加本项目投标的有关事宜达成下列协议：</w:t>
      </w:r>
    </w:p>
    <w:p w14:paraId="545D4E1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一、联合体各方应承担的工作和义务具体如下：</w:t>
      </w:r>
    </w:p>
    <w:p w14:paraId="4F7506E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1、牵头方（全称）：</w:t>
      </w:r>
      <w:r>
        <w:rPr>
          <w:rFonts w:hint="eastAsia" w:ascii="宋体" w:hAnsi="宋体" w:eastAsia="宋体" w:cs="宋体"/>
          <w:color w:val="auto"/>
          <w:sz w:val="24"/>
          <w:szCs w:val="24"/>
          <w:u w:val="single"/>
        </w:rPr>
        <w:t xml:space="preserve">（填写“工作及义务的具体内容”） </w:t>
      </w:r>
      <w:r>
        <w:rPr>
          <w:rFonts w:hint="eastAsia" w:ascii="宋体" w:hAnsi="宋体" w:eastAsia="宋体" w:cs="宋体"/>
          <w:color w:val="auto"/>
          <w:sz w:val="24"/>
          <w:szCs w:val="24"/>
        </w:rPr>
        <w:t>；</w:t>
      </w:r>
    </w:p>
    <w:p w14:paraId="0BD8573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2、成员方：</w:t>
      </w:r>
    </w:p>
    <w:p w14:paraId="35FFDC6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2.1（成员一的全称）：</w:t>
      </w:r>
      <w:r>
        <w:rPr>
          <w:rFonts w:hint="eastAsia" w:ascii="宋体" w:hAnsi="宋体" w:eastAsia="宋体" w:cs="宋体"/>
          <w:color w:val="auto"/>
          <w:sz w:val="24"/>
          <w:szCs w:val="24"/>
          <w:u w:val="single"/>
        </w:rPr>
        <w:t>（填写“工作及义务的具体内容”）</w:t>
      </w:r>
      <w:r>
        <w:rPr>
          <w:rFonts w:hint="eastAsia" w:ascii="宋体" w:hAnsi="宋体" w:eastAsia="宋体" w:cs="宋体"/>
          <w:color w:val="auto"/>
          <w:sz w:val="24"/>
          <w:szCs w:val="24"/>
        </w:rPr>
        <w:t xml:space="preserve"> ；</w:t>
      </w:r>
    </w:p>
    <w:p w14:paraId="5AFF878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2B5AE12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二、联合体各方的合同金额占比，具体如下：</w:t>
      </w:r>
    </w:p>
    <w:p w14:paraId="11FC243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1.牵头方（</w:t>
      </w:r>
      <w:r>
        <w:rPr>
          <w:rFonts w:hint="eastAsia" w:ascii="宋体" w:hAnsi="宋体" w:eastAsia="宋体" w:cs="宋体"/>
          <w:color w:val="auto"/>
          <w:sz w:val="24"/>
          <w:szCs w:val="24"/>
          <w:u w:val="single"/>
        </w:rPr>
        <w:t xml:space="preserve"> 全称</w:t>
      </w:r>
      <w:r>
        <w:rPr>
          <w:rFonts w:hint="eastAsia" w:ascii="宋体" w:hAnsi="宋体" w:eastAsia="宋体" w:cs="宋体"/>
          <w:color w:val="auto"/>
          <w:sz w:val="24"/>
          <w:szCs w:val="24"/>
        </w:rPr>
        <w:t xml:space="preserve"> ）的合同金额占合同总额的</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340ACD5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2.成员方：</w:t>
      </w:r>
    </w:p>
    <w:p w14:paraId="6304473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2.1（</w:t>
      </w:r>
      <w:r>
        <w:rPr>
          <w:rFonts w:hint="eastAsia" w:ascii="宋体" w:hAnsi="宋体" w:eastAsia="宋体" w:cs="宋体"/>
          <w:color w:val="auto"/>
          <w:sz w:val="24"/>
          <w:szCs w:val="24"/>
          <w:u w:val="single"/>
        </w:rPr>
        <w:t xml:space="preserve"> 成员1的全称 </w:t>
      </w:r>
      <w:r>
        <w:rPr>
          <w:rFonts w:hint="eastAsia" w:ascii="宋体" w:hAnsi="宋体" w:eastAsia="宋体" w:cs="宋体"/>
          <w:color w:val="auto"/>
          <w:sz w:val="24"/>
          <w:szCs w:val="24"/>
        </w:rPr>
        <w:t>）的合同金额占合同总额的</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3B02E57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7B64673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三、联合体各方约定：</w:t>
      </w:r>
    </w:p>
    <w:p w14:paraId="4BFDFA3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1、由</w:t>
      </w:r>
      <w:r>
        <w:rPr>
          <w:rFonts w:hint="eastAsia" w:ascii="宋体" w:hAnsi="宋体" w:eastAsia="宋体" w:cs="宋体"/>
          <w:color w:val="auto"/>
          <w:sz w:val="24"/>
          <w:szCs w:val="24"/>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5B357D9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2、联合体各方约定由</w:t>
      </w:r>
      <w:r>
        <w:rPr>
          <w:rFonts w:hint="eastAsia" w:ascii="宋体" w:hAnsi="宋体" w:eastAsia="宋体" w:cs="宋体"/>
          <w:color w:val="auto"/>
          <w:sz w:val="24"/>
          <w:szCs w:val="24"/>
          <w:u w:val="single"/>
        </w:rPr>
        <w:t>（填写“牵头方的全称”）代表联合体办理投标保证金事宜。</w:t>
      </w:r>
    </w:p>
    <w:p w14:paraId="2F214EA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4C823E9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四、若中标，牵头方将代表联合体与采购人就合同签订事宜进行协商；若协商一致，则联合体各方将共同与采购人签订政府采购合同，并就政府采购合同约定的事项对采购人承担连带责任。</w:t>
      </w:r>
    </w:p>
    <w:p w14:paraId="4553CE9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五、本协议自签署之日起生效，政府采购合同履行完毕后自动失效。</w:t>
      </w:r>
    </w:p>
    <w:p w14:paraId="4177AD5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六、本协议一式</w:t>
      </w:r>
      <w:r>
        <w:rPr>
          <w:rFonts w:hint="eastAsia" w:ascii="宋体" w:hAnsi="宋体" w:eastAsia="宋体" w:cs="宋体"/>
          <w:color w:val="auto"/>
          <w:sz w:val="24"/>
          <w:szCs w:val="24"/>
          <w:u w:val="single"/>
        </w:rPr>
        <w:t>（填写具体份数）</w:t>
      </w:r>
      <w:r>
        <w:rPr>
          <w:rFonts w:hint="eastAsia" w:ascii="宋体" w:hAnsi="宋体" w:eastAsia="宋体" w:cs="宋体"/>
          <w:color w:val="auto"/>
          <w:sz w:val="24"/>
          <w:szCs w:val="24"/>
        </w:rPr>
        <w:t>份，联合体各方各执一份，电子投标文件中提交一份。</w:t>
      </w:r>
    </w:p>
    <w:p w14:paraId="3709288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（以下无正文）</w:t>
      </w:r>
    </w:p>
    <w:p w14:paraId="259921E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牵头方：</w:t>
      </w:r>
      <w:r>
        <w:rPr>
          <w:rFonts w:hint="eastAsia" w:ascii="宋体" w:hAnsi="宋体" w:eastAsia="宋体" w:cs="宋体"/>
          <w:color w:val="auto"/>
          <w:sz w:val="24"/>
          <w:szCs w:val="24"/>
          <w:u w:val="single"/>
        </w:rPr>
        <w:t>（全称并加盖单位公章）</w:t>
      </w:r>
    </w:p>
    <w:p w14:paraId="33451EF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（签字或盖章）</w:t>
      </w:r>
    </w:p>
    <w:p w14:paraId="58364A2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成员一：</w:t>
      </w:r>
      <w:r>
        <w:rPr>
          <w:rFonts w:hint="eastAsia" w:ascii="宋体" w:hAnsi="宋体" w:eastAsia="宋体" w:cs="宋体"/>
          <w:color w:val="auto"/>
          <w:sz w:val="24"/>
          <w:szCs w:val="24"/>
          <w:u w:val="single"/>
        </w:rPr>
        <w:t>（全称并加盖成员一的单位公章）</w:t>
      </w:r>
    </w:p>
    <w:p w14:paraId="71E5077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（签字或盖章）</w:t>
      </w:r>
    </w:p>
    <w:p w14:paraId="1B73DE8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6B4A277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成员**：</w:t>
      </w:r>
      <w:r>
        <w:rPr>
          <w:rFonts w:hint="eastAsia" w:ascii="宋体" w:hAnsi="宋体" w:eastAsia="宋体" w:cs="宋体"/>
          <w:color w:val="auto"/>
          <w:sz w:val="24"/>
          <w:szCs w:val="24"/>
          <w:u w:val="single"/>
        </w:rPr>
        <w:t>（全称并加盖成员**的单位公章）</w:t>
      </w:r>
    </w:p>
    <w:p w14:paraId="287B390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（签字或盖章）</w:t>
      </w:r>
    </w:p>
    <w:p w14:paraId="586B1F52">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签署日期：</w:t>
      </w:r>
      <w:r>
        <w:rPr>
          <w:rFonts w:hint="eastAsia" w:ascii="宋体" w:hAnsi="宋体" w:eastAsia="宋体" w:cs="宋体"/>
          <w:color w:val="auto"/>
          <w:sz w:val="24"/>
          <w:szCs w:val="24"/>
          <w:u w:val="single"/>
        </w:rPr>
        <w:t>　　年　　月　　日</w:t>
      </w:r>
    </w:p>
    <w:p w14:paraId="3B0A473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4E637D1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1、招标文件接受联合体投标且投标人为联合体的，投标人应提供本协议；否则无须提供。</w:t>
      </w:r>
    </w:p>
    <w:p w14:paraId="743B013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2、本协议由委托代理人签字或盖章的，应按照本章载明的格式提供“单位授权书”。</w:t>
      </w:r>
    </w:p>
    <w:p w14:paraId="0FDD382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3、在以联合体形式落实中小企业预留份额项目中，投标人除了要提供《中小企业声明函》，还需提供本协议。</w:t>
      </w:r>
    </w:p>
    <w:p w14:paraId="181FB25F">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5DF81162">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二-6分包意向协议（若有）</w:t>
      </w:r>
    </w:p>
    <w:p w14:paraId="15D6104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甲方（总包方）：</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（即本项目的投标人）</w:t>
      </w:r>
    </w:p>
    <w:p w14:paraId="7A9B00E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乙方（分包方）：</w:t>
      </w:r>
      <w:r>
        <w:rPr>
          <w:rFonts w:hint="eastAsia" w:ascii="宋体" w:hAnsi="宋体" w:eastAsia="宋体" w:cs="宋体"/>
          <w:color w:val="auto"/>
          <w:sz w:val="24"/>
          <w:szCs w:val="24"/>
          <w:u w:val="single"/>
        </w:rPr>
        <w:t>　　　　　　　</w:t>
      </w:r>
    </w:p>
    <w:p w14:paraId="3686F04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兹有甲方参加</w:t>
      </w:r>
      <w:r>
        <w:rPr>
          <w:rFonts w:hint="eastAsia" w:ascii="宋体" w:hAnsi="宋体" w:eastAsia="宋体" w:cs="宋体"/>
          <w:color w:val="auto"/>
          <w:sz w:val="24"/>
          <w:szCs w:val="24"/>
          <w:u w:val="single"/>
        </w:rPr>
        <w:t>（填写“项目名称”）</w:t>
      </w:r>
      <w:r>
        <w:rPr>
          <w:rFonts w:hint="eastAsia" w:ascii="宋体" w:hAnsi="宋体" w:eastAsia="宋体" w:cs="宋体"/>
          <w:color w:val="auto"/>
          <w:sz w:val="24"/>
          <w:szCs w:val="24"/>
        </w:rPr>
        <w:t xml:space="preserve"> 项目（项目编号：</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）的政府采购活动。甲方期望将采购项目的部分采购标的分包给乙方完成，而乙方保证能够向甲方提供本协议项下的采购标的，甲、乙双方就合同分包的有关事宜达成下列协议：</w:t>
      </w:r>
    </w:p>
    <w:p w14:paraId="3A6A480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一、分包标的</w:t>
      </w:r>
    </w:p>
    <w:p w14:paraId="39069BB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u w:val="single"/>
        </w:rPr>
        <w:t>（根据双方的意向填写，可以是表格或文字描述）。</w:t>
      </w:r>
    </w:p>
    <w:p w14:paraId="32F6950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二、分包合同金额占比</w:t>
      </w:r>
    </w:p>
    <w:p w14:paraId="038D700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分包合同价占投标总价的比例：</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w:t>
      </w:r>
    </w:p>
    <w:p w14:paraId="31C10B1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三、其他条款</w:t>
      </w:r>
    </w:p>
    <w:p w14:paraId="30210D2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5576B0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678C5B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甲方：</w:t>
            </w:r>
          </w:p>
        </w:tc>
        <w:tc>
          <w:tcPr>
            <w:tcW w:w="4153" w:type="dxa"/>
          </w:tcPr>
          <w:p w14:paraId="282F774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乙方：</w:t>
            </w:r>
          </w:p>
        </w:tc>
      </w:tr>
      <w:tr w14:paraId="6FE84B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C62FBA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住所：</w:t>
            </w:r>
          </w:p>
        </w:tc>
        <w:tc>
          <w:tcPr>
            <w:tcW w:w="4153" w:type="dxa"/>
          </w:tcPr>
          <w:p w14:paraId="0A2DBCE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住所：</w:t>
            </w:r>
          </w:p>
        </w:tc>
      </w:tr>
      <w:tr w14:paraId="35AFB1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C0BD6F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单位负责人或委托代理人：</w:t>
            </w:r>
          </w:p>
        </w:tc>
        <w:tc>
          <w:tcPr>
            <w:tcW w:w="4153" w:type="dxa"/>
          </w:tcPr>
          <w:p w14:paraId="566DDE9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单位负责人或委托代理人：</w:t>
            </w:r>
          </w:p>
        </w:tc>
      </w:tr>
      <w:tr w14:paraId="22746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A1EB87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联系方法：</w:t>
            </w:r>
          </w:p>
        </w:tc>
        <w:tc>
          <w:tcPr>
            <w:tcW w:w="4153" w:type="dxa"/>
          </w:tcPr>
          <w:p w14:paraId="403ED54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联系方法：</w:t>
            </w:r>
          </w:p>
        </w:tc>
      </w:tr>
      <w:tr w14:paraId="3B1A40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28B0F1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开户银行：</w:t>
            </w:r>
          </w:p>
        </w:tc>
        <w:tc>
          <w:tcPr>
            <w:tcW w:w="4153" w:type="dxa"/>
          </w:tcPr>
          <w:p w14:paraId="37C1D2F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开户银行：</w:t>
            </w:r>
          </w:p>
        </w:tc>
      </w:tr>
      <w:tr w14:paraId="6B96B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F5B4E3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账号：</w:t>
            </w:r>
          </w:p>
        </w:tc>
        <w:tc>
          <w:tcPr>
            <w:tcW w:w="4153" w:type="dxa"/>
          </w:tcPr>
          <w:p w14:paraId="6C3E7DB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账号：</w:t>
            </w:r>
          </w:p>
        </w:tc>
      </w:tr>
      <w:tr w14:paraId="4385DC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6D4C99A">
            <w:pPr>
              <w:pStyle w:val="11"/>
              <w:ind w:firstLine="960"/>
              <w:jc w:val="right"/>
              <w:rPr>
                <w:rFonts w:hint="eastAsia" w:ascii="宋体" w:hAnsi="宋体" w:eastAsia="宋体" w:cs="宋体"/>
                <w:color w:val="auto"/>
                <w:sz w:val="24"/>
                <w:szCs w:val="24"/>
              </w:rPr>
            </w:pPr>
            <w:r>
              <w:rPr>
                <w:rFonts w:hint="eastAsia" w:ascii="宋体" w:hAnsi="宋体" w:eastAsia="宋体" w:cs="宋体"/>
                <w:color w:val="auto"/>
                <w:sz w:val="24"/>
                <w:szCs w:val="24"/>
              </w:rPr>
              <w:t>签订地点：</w:t>
            </w:r>
            <w:r>
              <w:rPr>
                <w:rFonts w:hint="eastAsia" w:ascii="宋体" w:hAnsi="宋体" w:eastAsia="宋体" w:cs="宋体"/>
                <w:color w:val="auto"/>
                <w:sz w:val="24"/>
                <w:szCs w:val="24"/>
                <w:u w:val="single"/>
              </w:rPr>
              <w:t>　　　　　　　　　　</w:t>
            </w:r>
          </w:p>
          <w:p w14:paraId="7DAC7EC2">
            <w:pPr>
              <w:pStyle w:val="11"/>
              <w:ind w:firstLine="960"/>
              <w:jc w:val="right"/>
              <w:rPr>
                <w:rFonts w:hint="eastAsia" w:ascii="宋体" w:hAnsi="宋体" w:eastAsia="宋体" w:cs="宋体"/>
                <w:color w:val="auto"/>
                <w:sz w:val="24"/>
                <w:szCs w:val="24"/>
              </w:rPr>
            </w:pPr>
            <w:r>
              <w:rPr>
                <w:rFonts w:hint="eastAsia" w:ascii="宋体" w:hAnsi="宋体" w:eastAsia="宋体" w:cs="宋体"/>
                <w:color w:val="auto"/>
                <w:sz w:val="24"/>
                <w:szCs w:val="24"/>
              </w:rPr>
              <w:t>签约日期：</w:t>
            </w:r>
            <w:r>
              <w:rPr>
                <w:rFonts w:hint="eastAsia" w:ascii="宋体" w:hAnsi="宋体" w:eastAsia="宋体" w:cs="宋体"/>
                <w:color w:val="auto"/>
                <w:sz w:val="24"/>
                <w:szCs w:val="24"/>
                <w:u w:val="single"/>
              </w:rPr>
              <w:t>　　年　　月　　日</w:t>
            </w:r>
          </w:p>
        </w:tc>
      </w:tr>
    </w:tbl>
    <w:p w14:paraId="3887B2C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37F7D92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1.招标文件接受合同分包且投标人拟将合同分包的，应提供本协议；否则无须提供。</w:t>
      </w:r>
    </w:p>
    <w:p w14:paraId="25AE997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2.本协议由委托代理人签字或盖章的，应按照本章载明的格式提供“单位授权书”。</w:t>
      </w:r>
    </w:p>
    <w:p w14:paraId="686F28D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3.在以合同分包形式落实中小企业预留份额项目中，投标人除了要提供《中小企业声明函》，还需提供本协议。</w:t>
      </w:r>
    </w:p>
    <w:p w14:paraId="21C1C558">
      <w:pPr>
        <w:pStyle w:val="11"/>
        <w:ind w:firstLine="96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276F4CF8">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二-7其他资格证明文件（若有）</w:t>
      </w:r>
    </w:p>
    <w:p w14:paraId="1E758A4E">
      <w:pPr>
        <w:pStyle w:val="11"/>
        <w:ind w:firstLine="960"/>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二-7-①招标文件规定的其他资格证明文件（若有）</w:t>
      </w:r>
    </w:p>
    <w:p w14:paraId="203A57BB">
      <w:pPr>
        <w:pStyle w:val="11"/>
        <w:ind w:firstLine="480"/>
        <w:jc w:val="center"/>
        <w:rPr>
          <w:rFonts w:hint="eastAsia" w:ascii="宋体" w:hAnsi="宋体" w:eastAsia="宋体" w:cs="宋体"/>
          <w:color w:val="auto"/>
          <w:sz w:val="24"/>
          <w:szCs w:val="24"/>
        </w:rPr>
      </w:pPr>
      <w:r>
        <w:rPr>
          <w:rFonts w:hint="eastAsia" w:ascii="宋体" w:hAnsi="宋体" w:eastAsia="宋体" w:cs="宋体"/>
          <w:color w:val="auto"/>
          <w:sz w:val="24"/>
          <w:szCs w:val="24"/>
        </w:rPr>
        <w:t>编制说明</w:t>
      </w:r>
    </w:p>
    <w:p w14:paraId="50CF9FF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除招标文件另有规定外，招标文件要求提交的除前述资格证明文件外的其他资格证明文件（若有）加盖投标人的单位公章后应在此项下提交。</w:t>
      </w:r>
    </w:p>
    <w:p w14:paraId="40458D66">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651046EB">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三、投标保证金</w:t>
      </w:r>
    </w:p>
    <w:p w14:paraId="2A37ADA4">
      <w:pPr>
        <w:pStyle w:val="11"/>
        <w:ind w:firstLine="480"/>
        <w:jc w:val="center"/>
        <w:rPr>
          <w:rFonts w:hint="eastAsia" w:ascii="宋体" w:hAnsi="宋体" w:eastAsia="宋体" w:cs="宋体"/>
          <w:color w:val="auto"/>
          <w:sz w:val="24"/>
          <w:szCs w:val="24"/>
        </w:rPr>
      </w:pPr>
      <w:r>
        <w:rPr>
          <w:rFonts w:hint="eastAsia" w:ascii="宋体" w:hAnsi="宋体" w:eastAsia="宋体" w:cs="宋体"/>
          <w:color w:val="auto"/>
          <w:sz w:val="24"/>
          <w:szCs w:val="24"/>
        </w:rPr>
        <w:t>编制说明</w:t>
      </w:r>
    </w:p>
    <w:p w14:paraId="3D64B99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1、在此项下提交的“投标保证金”材料可使用转账凭证复印件或从福建省政府采购网上公开信息系统中下载的有关原始页面的打印件。</w:t>
      </w:r>
    </w:p>
    <w:p w14:paraId="3A2F9F2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2、投标保证金是否已提交的认定按照招标文件第三章规定执行。</w:t>
      </w:r>
    </w:p>
    <w:p w14:paraId="07658AD5">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1D80D04C">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封面格式(报价部分)</w:t>
      </w:r>
    </w:p>
    <w:p w14:paraId="337B9C1E">
      <w:pPr>
        <w:pStyle w:val="11"/>
        <w:jc w:val="center"/>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福建省政府采购投标文件</w:t>
      </w:r>
    </w:p>
    <w:p w14:paraId="3A48131C">
      <w:pPr>
        <w:pStyle w:val="11"/>
        <w:jc w:val="center"/>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（报价部分）</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p>
    <w:p w14:paraId="2DBA180A">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（填写正本或副本）</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p>
    <w:p w14:paraId="57BB98F5">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项目名称：（由投标人填写）</w:t>
      </w:r>
    </w:p>
    <w:p w14:paraId="556A190C">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备案编号：（由投标人填写）</w:t>
      </w:r>
    </w:p>
    <w:p w14:paraId="56D91054">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项目编号：（由投标人填写）</w:t>
      </w:r>
    </w:p>
    <w:p w14:paraId="7D1752F3">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所投采购包：（由投标人填写）</w:t>
      </w:r>
    </w:p>
    <w:p w14:paraId="2C6D67C2">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投标人：（填写“全称”）</w:t>
      </w:r>
    </w:p>
    <w:p w14:paraId="05279889">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（由投标人填写）年（由投标人填写）月</w:t>
      </w:r>
    </w:p>
    <w:p w14:paraId="13D8BD19">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1A590A4D">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索引</w:t>
      </w:r>
    </w:p>
    <w:p w14:paraId="3B032B7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一、开标（报价）一览表</w:t>
      </w:r>
    </w:p>
    <w:p w14:paraId="3D5D742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二、投标（响应）报价明细表</w:t>
      </w:r>
    </w:p>
    <w:p w14:paraId="18D6EC9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三、招标文件规定的价格扣除证明材料（若有）</w:t>
      </w:r>
    </w:p>
    <w:p w14:paraId="349C21A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0D2CA6B5">
      <w:pPr>
        <w:pStyle w:val="11"/>
        <w:jc w:val="left"/>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开标（报价）一览表</w:t>
      </w:r>
    </w:p>
    <w:p w14:paraId="2D7C01A7">
      <w:pPr>
        <w:pStyle w:val="11"/>
        <w:ind w:right="1650"/>
        <w:jc w:val="left"/>
        <w:rPr>
          <w:rFonts w:hint="eastAsia" w:ascii="宋体" w:hAnsi="宋体" w:eastAsia="宋体" w:cs="宋体"/>
          <w:color w:val="auto"/>
          <w:sz w:val="24"/>
          <w:szCs w:val="24"/>
        </w:rPr>
      </w:pPr>
      <w:r>
        <w:rPr>
          <w:rFonts w:hint="eastAsia" w:ascii="宋体" w:hAnsi="宋体" w:eastAsia="宋体" w:cs="宋体"/>
          <w:color w:val="auto"/>
          <w:sz w:val="24"/>
          <w:szCs w:val="24"/>
        </w:rPr>
        <w:t>项目编号：[350001]HZZB[GK]2026003</w:t>
      </w:r>
    </w:p>
    <w:p w14:paraId="4A8CF967">
      <w:pPr>
        <w:pStyle w:val="11"/>
        <w:spacing w:line="375"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项目名称：建设有限空间“一险一码”平台</w:t>
      </w:r>
    </w:p>
    <w:p w14:paraId="7BB5F1D5">
      <w:pPr>
        <w:pStyle w:val="11"/>
        <w:spacing w:line="375"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采购包：1(建设有限空间“一险一码”平台)</w:t>
      </w:r>
    </w:p>
    <w:p w14:paraId="4823F39E">
      <w:pPr>
        <w:pStyle w:val="11"/>
        <w:spacing w:line="375" w:lineRule="exact"/>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投标人（供应商）名称：</w:t>
      </w:r>
    </w:p>
    <w:p w14:paraId="02FE1047">
      <w:pPr>
        <w:pStyle w:val="11"/>
        <w:jc w:val="left"/>
        <w:rPr>
          <w:rFonts w:hint="eastAsia" w:ascii="宋体" w:hAnsi="宋体" w:eastAsia="宋体" w:cs="宋体"/>
          <w:color w:val="auto"/>
          <w:sz w:val="24"/>
          <w:szCs w:val="24"/>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11838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2BF719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序号</w:t>
            </w:r>
          </w:p>
        </w:tc>
        <w:tc>
          <w:tcPr>
            <w:tcW w:w="1661" w:type="dxa"/>
          </w:tcPr>
          <w:p w14:paraId="2A59172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报价内容</w:t>
            </w:r>
          </w:p>
        </w:tc>
        <w:tc>
          <w:tcPr>
            <w:tcW w:w="1661" w:type="dxa"/>
          </w:tcPr>
          <w:p w14:paraId="4793D2C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最高限价</w:t>
            </w:r>
          </w:p>
        </w:tc>
        <w:tc>
          <w:tcPr>
            <w:tcW w:w="1661" w:type="dxa"/>
          </w:tcPr>
          <w:p w14:paraId="5300F44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响应报价</w:t>
            </w:r>
          </w:p>
        </w:tc>
        <w:tc>
          <w:tcPr>
            <w:tcW w:w="1661" w:type="dxa"/>
          </w:tcPr>
          <w:p w14:paraId="52A079C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价款形式</w:t>
            </w:r>
          </w:p>
        </w:tc>
      </w:tr>
      <w:tr w14:paraId="74B8AD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D036C9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w:t>
            </w:r>
          </w:p>
        </w:tc>
        <w:tc>
          <w:tcPr>
            <w:tcW w:w="1661" w:type="dxa"/>
          </w:tcPr>
          <w:p w14:paraId="3697FF1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建设有限空间“一险一码”平台</w:t>
            </w:r>
          </w:p>
        </w:tc>
        <w:tc>
          <w:tcPr>
            <w:tcW w:w="1661" w:type="dxa"/>
          </w:tcPr>
          <w:p w14:paraId="09FC158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10000000  元</w:t>
            </w:r>
          </w:p>
        </w:tc>
        <w:tc>
          <w:tcPr>
            <w:tcW w:w="1661" w:type="dxa"/>
          </w:tcPr>
          <w:p w14:paraId="0BAFCE6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「汇总引用」  元</w:t>
            </w:r>
          </w:p>
        </w:tc>
        <w:tc>
          <w:tcPr>
            <w:tcW w:w="1661" w:type="dxa"/>
          </w:tcPr>
          <w:p w14:paraId="04AB7D1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总价</w:t>
            </w:r>
          </w:p>
        </w:tc>
      </w:tr>
    </w:tbl>
    <w:p w14:paraId="64C7911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备注：无</w:t>
      </w:r>
    </w:p>
    <w:p w14:paraId="7706C63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时间：     年     月     日</w:t>
      </w:r>
    </w:p>
    <w:p w14:paraId="3397B49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签章：                     </w:t>
      </w:r>
    </w:p>
    <w:p w14:paraId="00FFCE2D">
      <w:pPr>
        <w:pStyle w:val="11"/>
        <w:jc w:val="left"/>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投标（响应）报价明细表</w:t>
      </w:r>
    </w:p>
    <w:p w14:paraId="4CC9B8D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项目编号：[350001]HZZB[GK]2026003</w:t>
      </w:r>
    </w:p>
    <w:p w14:paraId="3D9167D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项目名称：建设有限空间“一险一码”平台</w:t>
      </w:r>
    </w:p>
    <w:p w14:paraId="791E810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采购包：建设有限空间“一险一码”平台</w:t>
      </w:r>
    </w:p>
    <w:p w14:paraId="58E10EE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投标人名称：</w:t>
      </w:r>
    </w:p>
    <w:p w14:paraId="53CE0EE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建设有限空间“一险一码”平台</w:t>
      </w:r>
    </w:p>
    <w:p w14:paraId="32E7325D">
      <w:pPr>
        <w:pStyle w:val="11"/>
        <w:jc w:val="left"/>
        <w:rPr>
          <w:rFonts w:hint="eastAsia" w:ascii="宋体" w:hAnsi="宋体" w:eastAsia="宋体" w:cs="宋体"/>
          <w:color w:val="auto"/>
          <w:sz w:val="24"/>
          <w:szCs w:val="24"/>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7"/>
        <w:gridCol w:w="696"/>
        <w:gridCol w:w="590"/>
        <w:gridCol w:w="590"/>
        <w:gridCol w:w="590"/>
        <w:gridCol w:w="590"/>
        <w:gridCol w:w="1176"/>
        <w:gridCol w:w="590"/>
        <w:gridCol w:w="936"/>
        <w:gridCol w:w="497"/>
        <w:gridCol w:w="590"/>
        <w:gridCol w:w="590"/>
        <w:gridCol w:w="590"/>
      </w:tblGrid>
      <w:tr w14:paraId="6C5FF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196738E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序号</w:t>
            </w:r>
          </w:p>
        </w:tc>
        <w:tc>
          <w:tcPr>
            <w:tcW w:w="639" w:type="dxa"/>
          </w:tcPr>
          <w:p w14:paraId="4806ED3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服务名称</w:t>
            </w:r>
          </w:p>
        </w:tc>
        <w:tc>
          <w:tcPr>
            <w:tcW w:w="639" w:type="dxa"/>
          </w:tcPr>
          <w:p w14:paraId="6996328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服务范围</w:t>
            </w:r>
          </w:p>
        </w:tc>
        <w:tc>
          <w:tcPr>
            <w:tcW w:w="639" w:type="dxa"/>
          </w:tcPr>
          <w:p w14:paraId="06AD67D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服务要求</w:t>
            </w:r>
          </w:p>
        </w:tc>
        <w:tc>
          <w:tcPr>
            <w:tcW w:w="639" w:type="dxa"/>
          </w:tcPr>
          <w:p w14:paraId="66F147C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服务时间</w:t>
            </w:r>
          </w:p>
        </w:tc>
        <w:tc>
          <w:tcPr>
            <w:tcW w:w="639" w:type="dxa"/>
          </w:tcPr>
          <w:p w14:paraId="304DDC2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服务标准</w:t>
            </w:r>
          </w:p>
        </w:tc>
        <w:tc>
          <w:tcPr>
            <w:tcW w:w="639" w:type="dxa"/>
          </w:tcPr>
          <w:p w14:paraId="0F1FA64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最高限价</w:t>
            </w:r>
          </w:p>
        </w:tc>
        <w:tc>
          <w:tcPr>
            <w:tcW w:w="639" w:type="dxa"/>
          </w:tcPr>
          <w:p w14:paraId="766ABC5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单价</w:t>
            </w:r>
          </w:p>
        </w:tc>
        <w:tc>
          <w:tcPr>
            <w:tcW w:w="639" w:type="dxa"/>
          </w:tcPr>
          <w:p w14:paraId="6EC00DE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数量</w:t>
            </w:r>
          </w:p>
        </w:tc>
        <w:tc>
          <w:tcPr>
            <w:tcW w:w="639" w:type="dxa"/>
          </w:tcPr>
          <w:p w14:paraId="1DDA552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计量单位</w:t>
            </w:r>
          </w:p>
        </w:tc>
        <w:tc>
          <w:tcPr>
            <w:tcW w:w="639" w:type="dxa"/>
          </w:tcPr>
          <w:p w14:paraId="461A30D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总价</w:t>
            </w:r>
          </w:p>
        </w:tc>
        <w:tc>
          <w:tcPr>
            <w:tcW w:w="639" w:type="dxa"/>
          </w:tcPr>
          <w:p w14:paraId="0058D5E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是否环境标志产品</w:t>
            </w:r>
          </w:p>
        </w:tc>
        <w:tc>
          <w:tcPr>
            <w:tcW w:w="639" w:type="dxa"/>
          </w:tcPr>
          <w:p w14:paraId="6A6D247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是否节能产品</w:t>
            </w:r>
          </w:p>
        </w:tc>
      </w:tr>
      <w:tr w14:paraId="73BE4B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66C839E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w:t>
            </w:r>
          </w:p>
        </w:tc>
        <w:tc>
          <w:tcPr>
            <w:tcW w:w="639" w:type="dxa"/>
          </w:tcPr>
          <w:p w14:paraId="415F8A1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建设有限空间“一险一码”平台</w:t>
            </w:r>
          </w:p>
        </w:tc>
        <w:tc>
          <w:tcPr>
            <w:tcW w:w="639" w:type="dxa"/>
          </w:tcPr>
          <w:p w14:paraId="7E3CB93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{供应商响应}</w:t>
            </w:r>
          </w:p>
        </w:tc>
        <w:tc>
          <w:tcPr>
            <w:tcW w:w="639" w:type="dxa"/>
          </w:tcPr>
          <w:p w14:paraId="7D1E146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{供应商响应}</w:t>
            </w:r>
          </w:p>
        </w:tc>
        <w:tc>
          <w:tcPr>
            <w:tcW w:w="639" w:type="dxa"/>
          </w:tcPr>
          <w:p w14:paraId="35017FE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{供应商响应}</w:t>
            </w:r>
          </w:p>
        </w:tc>
        <w:tc>
          <w:tcPr>
            <w:tcW w:w="639" w:type="dxa"/>
          </w:tcPr>
          <w:p w14:paraId="12182BC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{供应商响应}</w:t>
            </w:r>
          </w:p>
        </w:tc>
        <w:tc>
          <w:tcPr>
            <w:tcW w:w="639" w:type="dxa"/>
          </w:tcPr>
          <w:p w14:paraId="41EEB02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10000000  元</w:t>
            </w:r>
          </w:p>
        </w:tc>
        <w:tc>
          <w:tcPr>
            <w:tcW w:w="639" w:type="dxa"/>
          </w:tcPr>
          <w:p w14:paraId="0FA80AB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{=总价/数量}  元</w:t>
            </w:r>
          </w:p>
        </w:tc>
        <w:tc>
          <w:tcPr>
            <w:tcW w:w="639" w:type="dxa"/>
          </w:tcPr>
          <w:p w14:paraId="145FAB0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1.0000</w:t>
            </w:r>
          </w:p>
        </w:tc>
        <w:tc>
          <w:tcPr>
            <w:tcW w:w="639" w:type="dxa"/>
          </w:tcPr>
          <w:p w14:paraId="3AFBC16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项</w:t>
            </w:r>
          </w:p>
        </w:tc>
        <w:tc>
          <w:tcPr>
            <w:tcW w:w="639" w:type="dxa"/>
          </w:tcPr>
          <w:p w14:paraId="151A618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{供应商响应}  元</w:t>
            </w:r>
          </w:p>
        </w:tc>
        <w:tc>
          <w:tcPr>
            <w:tcW w:w="639" w:type="dxa"/>
          </w:tcPr>
          <w:p w14:paraId="5539392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{供应商响应}</w:t>
            </w:r>
          </w:p>
        </w:tc>
        <w:tc>
          <w:tcPr>
            <w:tcW w:w="639" w:type="dxa"/>
          </w:tcPr>
          <w:p w14:paraId="347536E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{供应商响应}</w:t>
            </w:r>
          </w:p>
        </w:tc>
      </w:tr>
    </w:tbl>
    <w:p w14:paraId="63646EE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合计：</w:t>
      </w:r>
    </w:p>
    <w:p w14:paraId="5651892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备注：无</w:t>
      </w:r>
    </w:p>
    <w:p w14:paraId="4235D92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时间：     年     月     日</w:t>
      </w:r>
    </w:p>
    <w:p w14:paraId="79FBE5F7">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签章：                     </w:t>
      </w:r>
    </w:p>
    <w:p w14:paraId="554AAAEF">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129FFBBB">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三、招标文件规定的价格扣除证明材料（若有）</w:t>
      </w:r>
    </w:p>
    <w:p w14:paraId="7F09E995">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三-1优先类节能产品、环境标志产品价格扣除证明材料（若有）</w:t>
      </w:r>
    </w:p>
    <w:p w14:paraId="7D050D1F">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三-1-①优先类节能产品、环境标志产品统计表（价格扣除适用，若有）</w:t>
      </w:r>
    </w:p>
    <w:p w14:paraId="2579907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3E51E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751D196">
            <w:pPr>
              <w:rPr>
                <w:rFonts w:hint="eastAsia" w:ascii="宋体" w:hAnsi="宋体" w:eastAsia="宋体" w:cs="宋体"/>
                <w:color w:val="auto"/>
                <w:sz w:val="24"/>
                <w:szCs w:val="24"/>
              </w:rPr>
            </w:pPr>
          </w:p>
        </w:tc>
        <w:tc>
          <w:tcPr>
            <w:tcW w:w="7122" w:type="dxa"/>
            <w:gridSpan w:val="4"/>
          </w:tcPr>
          <w:p w14:paraId="59C9A195">
            <w:pPr>
              <w:pStyle w:val="11"/>
              <w:jc w:val="center"/>
              <w:rPr>
                <w:rFonts w:hint="eastAsia" w:ascii="宋体" w:hAnsi="宋体" w:eastAsia="宋体" w:cs="宋体"/>
                <w:color w:val="auto"/>
                <w:sz w:val="24"/>
                <w:szCs w:val="24"/>
              </w:rPr>
            </w:pPr>
            <w:r>
              <w:rPr>
                <w:rFonts w:hint="eastAsia" w:ascii="宋体" w:hAnsi="宋体" w:eastAsia="宋体" w:cs="宋体"/>
                <w:color w:val="auto"/>
                <w:sz w:val="24"/>
                <w:szCs w:val="24"/>
              </w:rPr>
              <w:t>本采购包内属于节能、环境标志产品情况</w:t>
            </w:r>
          </w:p>
        </w:tc>
      </w:tr>
      <w:tr w14:paraId="5CDE8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6BA2280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w:t>
            </w:r>
          </w:p>
        </w:tc>
        <w:tc>
          <w:tcPr>
            <w:tcW w:w="1187" w:type="dxa"/>
          </w:tcPr>
          <w:p w14:paraId="6272FE7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品目号</w:t>
            </w:r>
          </w:p>
        </w:tc>
        <w:tc>
          <w:tcPr>
            <w:tcW w:w="1187" w:type="dxa"/>
          </w:tcPr>
          <w:p w14:paraId="22470FF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产品名称</w:t>
            </w:r>
          </w:p>
        </w:tc>
        <w:tc>
          <w:tcPr>
            <w:tcW w:w="1187" w:type="dxa"/>
          </w:tcPr>
          <w:p w14:paraId="1C6D2F6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认证种类</w:t>
            </w:r>
          </w:p>
        </w:tc>
      </w:tr>
      <w:tr w14:paraId="24357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7861C31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187" w:type="dxa"/>
          </w:tcPr>
          <w:p w14:paraId="01F7F18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187" w:type="dxa"/>
          </w:tcPr>
          <w:p w14:paraId="51CF932B">
            <w:pPr>
              <w:rPr>
                <w:rFonts w:hint="eastAsia" w:ascii="宋体" w:hAnsi="宋体" w:eastAsia="宋体" w:cs="宋体"/>
                <w:color w:val="auto"/>
                <w:sz w:val="24"/>
                <w:szCs w:val="24"/>
              </w:rPr>
            </w:pPr>
          </w:p>
        </w:tc>
        <w:tc>
          <w:tcPr>
            <w:tcW w:w="1187" w:type="dxa"/>
          </w:tcPr>
          <w:p w14:paraId="315AB059">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供应商自行填写种类，并上传证明附件以便评审查看</w:t>
            </w:r>
          </w:p>
        </w:tc>
      </w:tr>
      <w:tr w14:paraId="0F15FC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66E249AB">
            <w:pPr>
              <w:rPr>
                <w:rFonts w:hint="eastAsia" w:ascii="宋体" w:hAnsi="宋体" w:eastAsia="宋体" w:cs="宋体"/>
                <w:color w:val="auto"/>
                <w:sz w:val="24"/>
                <w:szCs w:val="24"/>
              </w:rPr>
            </w:pPr>
          </w:p>
        </w:tc>
        <w:tc>
          <w:tcPr>
            <w:tcW w:w="1187" w:type="dxa"/>
          </w:tcPr>
          <w:p w14:paraId="0C73C4CC">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012AB909">
            <w:pPr>
              <w:pStyle w:val="11"/>
              <w:jc w:val="left"/>
              <w:rPr>
                <w:rFonts w:hint="eastAsia" w:ascii="宋体" w:hAnsi="宋体" w:eastAsia="宋体" w:cs="宋体"/>
                <w:color w:val="auto"/>
                <w:sz w:val="24"/>
                <w:szCs w:val="24"/>
              </w:rPr>
            </w:pPr>
          </w:p>
        </w:tc>
        <w:tc>
          <w:tcPr>
            <w:tcW w:w="1187" w:type="dxa"/>
          </w:tcPr>
          <w:p w14:paraId="3650B8B1">
            <w:pPr>
              <w:rPr>
                <w:rFonts w:hint="eastAsia" w:ascii="宋体" w:hAnsi="宋体" w:eastAsia="宋体" w:cs="宋体"/>
                <w:color w:val="auto"/>
                <w:sz w:val="24"/>
                <w:szCs w:val="24"/>
              </w:rPr>
            </w:pPr>
          </w:p>
        </w:tc>
        <w:tc>
          <w:tcPr>
            <w:tcW w:w="1187" w:type="dxa"/>
          </w:tcPr>
          <w:p w14:paraId="0B63856D">
            <w:pPr>
              <w:rPr>
                <w:rFonts w:hint="eastAsia" w:ascii="宋体" w:hAnsi="宋体" w:eastAsia="宋体" w:cs="宋体"/>
                <w:color w:val="auto"/>
                <w:sz w:val="24"/>
                <w:szCs w:val="24"/>
              </w:rPr>
            </w:pPr>
          </w:p>
        </w:tc>
      </w:tr>
      <w:tr w14:paraId="188516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5F6808D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c>
          <w:tcPr>
            <w:tcW w:w="3561" w:type="dxa"/>
            <w:gridSpan w:val="3"/>
          </w:tcPr>
          <w:p w14:paraId="7588FD21">
            <w:pPr>
              <w:pStyle w:val="11"/>
              <w:jc w:val="left"/>
              <w:rPr>
                <w:rFonts w:hint="eastAsia" w:ascii="宋体" w:hAnsi="宋体" w:eastAsia="宋体" w:cs="宋体"/>
                <w:color w:val="auto"/>
                <w:sz w:val="24"/>
                <w:szCs w:val="24"/>
              </w:rPr>
            </w:pPr>
          </w:p>
        </w:tc>
      </w:tr>
    </w:tbl>
    <w:p w14:paraId="6A843E0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0065935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1、对节能、环境标志产品计算价格扣除时，只依据电子投标（响应）文件“投标（响应）报价明细表”以及“优先类节能产品、环境标志产品证明材料（价格扣除适用，若有）。</w:t>
      </w:r>
    </w:p>
    <w:p w14:paraId="701EBA7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2、本表以采购包为单位，不同采购包请分别填写；同一采购包请按照其品目号顺序分别填写。</w:t>
      </w:r>
    </w:p>
    <w:p w14:paraId="331D632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3、具体统计、计算：</w:t>
      </w:r>
    </w:p>
    <w:p w14:paraId="70FA471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3.1若同一采购包内的单个或多个货物取得或同时取得节能、环境标志产品等两项或多项认证的，均按照单个货物对应一项认证的原则统计、计算1次。</w:t>
      </w:r>
    </w:p>
    <w:p w14:paraId="0BE0280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3.2计算结果若除不尽，可四舍五入保留到小数点后两位。</w:t>
      </w:r>
    </w:p>
    <w:p w14:paraId="351A436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3.3投标人(供应商)按照采购文件要求认真统计、计算。</w:t>
      </w:r>
    </w:p>
    <w:p w14:paraId="0EDF82A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3.4若无节能、环境标志产品，不填写本表。</w:t>
      </w:r>
    </w:p>
    <w:p w14:paraId="073DD0C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3.5强制类节能产品不享受价格扣除。</w:t>
      </w:r>
    </w:p>
    <w:p w14:paraId="74E2A981">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3B335E20">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01381A3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87A605D">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三-1-②优先类节能产品、环境标志产品证明材料（价格扣除适用，若有）</w:t>
      </w:r>
    </w:p>
    <w:p w14:paraId="70D19923">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三-2小型、微型企业产品等价格扣除证明材料（若有）</w:t>
      </w:r>
    </w:p>
    <w:p w14:paraId="31B6D812">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三-2-①中小企业声明函（价格扣除适用，若有）</w:t>
      </w:r>
    </w:p>
    <w:p w14:paraId="33DD6246">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中小企业声明函（货物）</w:t>
      </w:r>
    </w:p>
    <w:p w14:paraId="4B89465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本公司（联合体）郑重声明，根据《政府采购促进中小企业发展管理办法》（财库﹝2020﹞46 号）的规定，本公司（联合体）参加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采购活动，提供的货物全部由符合政策要求的中小企业制造。相关企业（含联合体中的中小企业、签订分包意向协议的中小企业）的具体情况如下：</w:t>
      </w:r>
    </w:p>
    <w:p w14:paraId="4641260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 xml:space="preserve"> （标的名称） </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行业；制造商为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0636DEB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 xml:space="preserve"> （标的名称） </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行业；制造商为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3DFC012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4D9415B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以上企业，不属于大企业的分支机构，不存在控股股东为大企业的情形，也不存在与大企业的负责人为同一人的情形。</w:t>
      </w:r>
    </w:p>
    <w:p w14:paraId="29F61C9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284873F0">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783C3362">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16BD8C1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5E0B699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1、从业人员、营业收入、资产总额填报上一年度数据，无上一年度数据的新成立企业可不填报。</w:t>
      </w:r>
    </w:p>
    <w:p w14:paraId="6A060A3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286B51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F53C41A">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6F839AC3">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中小企业声明函（工程、服务）</w:t>
      </w:r>
    </w:p>
    <w:p w14:paraId="78CB9C0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本公司（联合体）郑重声明，根据《政府采购促进中小企业发展管理办法》（财库﹝2020﹞46 号）的规定，本公司（联合体）参加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51178270">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；承建（承接）企业为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7A954BB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；承建（承接）企业为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w:t>
      </w:r>
    </w:p>
    <w:p w14:paraId="459A2F8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4E7AC78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以上企业，不属于大企业的分支机构，不存在控股股东为大企业的情形，也不存在与大企业的负责人为同一人的情形。</w:t>
      </w:r>
    </w:p>
    <w:p w14:paraId="26533F5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50654150">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0B248C23">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232FE40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44FD814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1、从业人员、营业收入、资产总额填报上一年度数据，无上一年度数据的新成立企业可不填报。</w:t>
      </w:r>
    </w:p>
    <w:p w14:paraId="3F14014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B1BA4D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D42BF5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3B04F2E8">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三-2-②小型、微型企业等证明材料（价格扣除适用，若有）</w:t>
      </w:r>
    </w:p>
    <w:p w14:paraId="42F5F6B9">
      <w:pPr>
        <w:pStyle w:val="11"/>
        <w:ind w:firstLine="480"/>
        <w:jc w:val="center"/>
        <w:rPr>
          <w:rFonts w:hint="eastAsia" w:ascii="宋体" w:hAnsi="宋体" w:eastAsia="宋体" w:cs="宋体"/>
          <w:color w:val="auto"/>
          <w:sz w:val="24"/>
          <w:szCs w:val="24"/>
        </w:rPr>
      </w:pPr>
      <w:r>
        <w:rPr>
          <w:rFonts w:hint="eastAsia" w:ascii="宋体" w:hAnsi="宋体" w:eastAsia="宋体" w:cs="宋体"/>
          <w:color w:val="auto"/>
          <w:sz w:val="24"/>
          <w:szCs w:val="24"/>
        </w:rPr>
        <w:t>编制说明</w:t>
      </w:r>
    </w:p>
    <w:p w14:paraId="5C80FB7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1、投标人为监狱企业的，根据其提供的由省级以上监狱管理局、戒毒管理局（含新疆生产建设兵团）出具的属于监狱企业的证明文件进行认定，监狱企业视同小型、微型企业。</w:t>
      </w:r>
    </w:p>
    <w:p w14:paraId="16379CA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2、投标人为残疾人福利性单位的，根据其提供的《残疾人福利性单位声明函》（格式附后）进行认定，残疾人福利性单位视同小型、微型企业。残疾人福利性单位属于小型、微型企业的，不重复享受政策。</w:t>
      </w:r>
    </w:p>
    <w:p w14:paraId="3F327B8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附：</w:t>
      </w:r>
    </w:p>
    <w:p w14:paraId="4731EA32">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残疾人福利性单位声明函（价格扣除适用，若有）</w:t>
      </w:r>
    </w:p>
    <w:p w14:paraId="10713E2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A1AA8D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3D2212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）由本投标人承建的（填写“所投采购包、品目号”）工程</w:t>
      </w:r>
    </w:p>
    <w:p w14:paraId="7994F30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 ）由本投标人承接的（填写“所投采购包、品目号”）服务；</w:t>
      </w:r>
    </w:p>
    <w:p w14:paraId="6591BA9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本投标人对上述声明的真实性负责。如有虚假，将依法承担相应责任。</w:t>
      </w:r>
    </w:p>
    <w:p w14:paraId="26C278B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备注：</w:t>
      </w:r>
    </w:p>
    <w:p w14:paraId="3C6054C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1、请投标人按照实际情况编制填写本声明函，并在相应的（）中打“√”。</w:t>
      </w:r>
    </w:p>
    <w:p w14:paraId="11107AC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2、若《残疾人福利性单位声明函》内容不真实，视为提供虚假材料。</w:t>
      </w:r>
    </w:p>
    <w:p w14:paraId="12D2BBA5">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4300D1C8">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3690433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7ED99DC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附：</w:t>
      </w:r>
    </w:p>
    <w:p w14:paraId="1DD0A256">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监狱企业证明材料</w:t>
      </w:r>
    </w:p>
    <w:p w14:paraId="1329AF8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投标人为监狱企业，提供本单位制造的货物（承接的服务），并在电子投标文件中提供省级以上监狱管理局、戒毒管理局（含新疆生产建设兵团）出具的属于监狱企业的证明文件。</w:t>
      </w:r>
    </w:p>
    <w:p w14:paraId="0D491A12">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DDC3CF7">
      <w:pPr>
        <w:pStyle w:val="11"/>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三-3招标文件规定的其他价格扣除证明材料（若有）</w:t>
      </w:r>
    </w:p>
    <w:p w14:paraId="5CF94798">
      <w:pPr>
        <w:pStyle w:val="11"/>
        <w:ind w:firstLine="480"/>
        <w:jc w:val="center"/>
        <w:rPr>
          <w:rFonts w:hint="eastAsia" w:ascii="宋体" w:hAnsi="宋体" w:eastAsia="宋体" w:cs="宋体"/>
          <w:color w:val="auto"/>
          <w:sz w:val="24"/>
          <w:szCs w:val="24"/>
        </w:rPr>
      </w:pPr>
      <w:r>
        <w:rPr>
          <w:rFonts w:hint="eastAsia" w:ascii="宋体" w:hAnsi="宋体" w:eastAsia="宋体" w:cs="宋体"/>
          <w:color w:val="auto"/>
          <w:sz w:val="24"/>
          <w:szCs w:val="24"/>
        </w:rPr>
        <w:t>编制说明</w:t>
      </w:r>
    </w:p>
    <w:p w14:paraId="34769736">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若投标人可享受招标文件规定的除“节能（非强制类）、环境标志产品价格扣除”及“小型、微型企业产品等价格扣除”外的其他价格扣除优惠，则投标人应按照招标文件要求提供相应证明材料。</w:t>
      </w:r>
    </w:p>
    <w:p w14:paraId="002D1A51">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3C64F4D">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封面格式(技术商务部分)</w:t>
      </w:r>
    </w:p>
    <w:p w14:paraId="21259EE1">
      <w:pPr>
        <w:pStyle w:val="11"/>
        <w:jc w:val="center"/>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福建省政府采购投标文件</w:t>
      </w:r>
    </w:p>
    <w:p w14:paraId="04C94551">
      <w:pPr>
        <w:pStyle w:val="11"/>
        <w:jc w:val="center"/>
        <w:outlineLvl w:val="0"/>
        <w:rPr>
          <w:rFonts w:hint="eastAsia" w:ascii="宋体" w:hAnsi="宋体" w:eastAsia="宋体" w:cs="宋体"/>
          <w:color w:val="auto"/>
          <w:sz w:val="24"/>
          <w:szCs w:val="24"/>
        </w:rPr>
      </w:pPr>
      <w:r>
        <w:rPr>
          <w:rFonts w:hint="eastAsia" w:ascii="宋体" w:hAnsi="宋体" w:eastAsia="宋体" w:cs="宋体"/>
          <w:b/>
          <w:color w:val="auto"/>
          <w:sz w:val="24"/>
          <w:szCs w:val="24"/>
        </w:rPr>
        <w:t>（技术商务部分）</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p>
    <w:p w14:paraId="60218F76">
      <w:pPr>
        <w:pStyle w:val="11"/>
        <w:jc w:val="center"/>
        <w:outlineLvl w:val="1"/>
        <w:rPr>
          <w:rFonts w:hint="eastAsia" w:ascii="宋体" w:hAnsi="宋体" w:eastAsia="宋体" w:cs="宋体"/>
          <w:color w:val="auto"/>
          <w:sz w:val="24"/>
          <w:szCs w:val="24"/>
        </w:rPr>
      </w:pPr>
      <w:r>
        <w:rPr>
          <w:rFonts w:hint="eastAsia" w:ascii="宋体" w:hAnsi="宋体" w:eastAsia="宋体" w:cs="宋体"/>
          <w:b/>
          <w:color w:val="auto"/>
          <w:sz w:val="24"/>
          <w:szCs w:val="24"/>
        </w:rPr>
        <w:t>（填写正本或副本）</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textWrapping"/>
      </w:r>
    </w:p>
    <w:p w14:paraId="3542174F">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项目名称：（由投标人填写）</w:t>
      </w:r>
    </w:p>
    <w:p w14:paraId="049EFE32">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备案编号：（由投标人填写）</w:t>
      </w:r>
    </w:p>
    <w:p w14:paraId="44CAF63A">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项目编号：（由投标人填写）</w:t>
      </w:r>
    </w:p>
    <w:p w14:paraId="58F5C8D4">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所投采购包：（由投标人填写）</w:t>
      </w:r>
    </w:p>
    <w:p w14:paraId="5B3CC1CA">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投标人：（填写“全称”）</w:t>
      </w:r>
    </w:p>
    <w:p w14:paraId="6350B09E">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（由投标人填写）年（由投标人填写）月</w:t>
      </w:r>
    </w:p>
    <w:p w14:paraId="46974B37">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5B2B31EB">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索引</w:t>
      </w:r>
    </w:p>
    <w:p w14:paraId="07AA8E4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一、标的说明一览表</w:t>
      </w:r>
    </w:p>
    <w:p w14:paraId="79C4E943">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二、技术和服务要求响应表</w:t>
      </w:r>
    </w:p>
    <w:p w14:paraId="30C66AB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三、商务条件响应表</w:t>
      </w:r>
    </w:p>
    <w:p w14:paraId="73CAEFB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四、投标人提交的其他资料（若有）</w:t>
      </w:r>
    </w:p>
    <w:p w14:paraId="2610F24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63685FA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技术商务部分中不得出现报价部分的全部或部分的投标报价信息（或组成资料），否则符合性审查不合格。</w:t>
      </w:r>
    </w:p>
    <w:p w14:paraId="01B9F4BC">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0D25B7DD">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一、标的说明一览表</w:t>
      </w:r>
    </w:p>
    <w:p w14:paraId="01D2C10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40BAE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2AEE39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w:t>
            </w:r>
          </w:p>
        </w:tc>
        <w:tc>
          <w:tcPr>
            <w:tcW w:w="1187" w:type="dxa"/>
          </w:tcPr>
          <w:p w14:paraId="7DCF297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品目号</w:t>
            </w:r>
          </w:p>
        </w:tc>
        <w:tc>
          <w:tcPr>
            <w:tcW w:w="1187" w:type="dxa"/>
          </w:tcPr>
          <w:p w14:paraId="5311D71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投标标的</w:t>
            </w:r>
          </w:p>
        </w:tc>
        <w:tc>
          <w:tcPr>
            <w:tcW w:w="1187" w:type="dxa"/>
          </w:tcPr>
          <w:p w14:paraId="1201832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1187" w:type="dxa"/>
          </w:tcPr>
          <w:p w14:paraId="42CE87A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规格</w:t>
            </w:r>
          </w:p>
        </w:tc>
        <w:tc>
          <w:tcPr>
            <w:tcW w:w="1187" w:type="dxa"/>
          </w:tcPr>
          <w:p w14:paraId="6F21C515">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来源地</w:t>
            </w:r>
          </w:p>
        </w:tc>
        <w:tc>
          <w:tcPr>
            <w:tcW w:w="1187" w:type="dxa"/>
          </w:tcPr>
          <w:p w14:paraId="50F687A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5F4CE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2A02C78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187" w:type="dxa"/>
          </w:tcPr>
          <w:p w14:paraId="5962092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187" w:type="dxa"/>
          </w:tcPr>
          <w:p w14:paraId="567F0DB4">
            <w:pPr>
              <w:rPr>
                <w:rFonts w:hint="eastAsia" w:ascii="宋体" w:hAnsi="宋体" w:eastAsia="宋体" w:cs="宋体"/>
                <w:color w:val="auto"/>
                <w:sz w:val="24"/>
                <w:szCs w:val="24"/>
              </w:rPr>
            </w:pPr>
          </w:p>
        </w:tc>
        <w:tc>
          <w:tcPr>
            <w:tcW w:w="1187" w:type="dxa"/>
          </w:tcPr>
          <w:p w14:paraId="4DE40299">
            <w:pPr>
              <w:rPr>
                <w:rFonts w:hint="eastAsia" w:ascii="宋体" w:hAnsi="宋体" w:eastAsia="宋体" w:cs="宋体"/>
                <w:color w:val="auto"/>
                <w:sz w:val="24"/>
                <w:szCs w:val="24"/>
              </w:rPr>
            </w:pPr>
          </w:p>
        </w:tc>
        <w:tc>
          <w:tcPr>
            <w:tcW w:w="1187" w:type="dxa"/>
          </w:tcPr>
          <w:p w14:paraId="4E3793FD">
            <w:pPr>
              <w:rPr>
                <w:rFonts w:hint="eastAsia" w:ascii="宋体" w:hAnsi="宋体" w:eastAsia="宋体" w:cs="宋体"/>
                <w:color w:val="auto"/>
                <w:sz w:val="24"/>
                <w:szCs w:val="24"/>
              </w:rPr>
            </w:pPr>
          </w:p>
        </w:tc>
        <w:tc>
          <w:tcPr>
            <w:tcW w:w="1187" w:type="dxa"/>
          </w:tcPr>
          <w:p w14:paraId="59F347C1">
            <w:pPr>
              <w:rPr>
                <w:rFonts w:hint="eastAsia" w:ascii="宋体" w:hAnsi="宋体" w:eastAsia="宋体" w:cs="宋体"/>
                <w:color w:val="auto"/>
                <w:sz w:val="24"/>
                <w:szCs w:val="24"/>
              </w:rPr>
            </w:pPr>
          </w:p>
        </w:tc>
      </w:tr>
      <w:tr w14:paraId="4084FD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16A30B7E">
            <w:pPr>
              <w:rPr>
                <w:rFonts w:hint="eastAsia" w:ascii="宋体" w:hAnsi="宋体" w:eastAsia="宋体" w:cs="宋体"/>
                <w:color w:val="auto"/>
                <w:sz w:val="24"/>
                <w:szCs w:val="24"/>
              </w:rPr>
            </w:pPr>
          </w:p>
        </w:tc>
        <w:tc>
          <w:tcPr>
            <w:tcW w:w="1187" w:type="dxa"/>
          </w:tcPr>
          <w:p w14:paraId="1C19CB3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187" w:type="dxa"/>
          </w:tcPr>
          <w:p w14:paraId="7D71D5CD">
            <w:pPr>
              <w:rPr>
                <w:rFonts w:hint="eastAsia" w:ascii="宋体" w:hAnsi="宋体" w:eastAsia="宋体" w:cs="宋体"/>
                <w:color w:val="auto"/>
                <w:sz w:val="24"/>
                <w:szCs w:val="24"/>
              </w:rPr>
            </w:pPr>
          </w:p>
        </w:tc>
        <w:tc>
          <w:tcPr>
            <w:tcW w:w="1187" w:type="dxa"/>
          </w:tcPr>
          <w:p w14:paraId="2FFAD0D6">
            <w:pPr>
              <w:rPr>
                <w:rFonts w:hint="eastAsia" w:ascii="宋体" w:hAnsi="宋体" w:eastAsia="宋体" w:cs="宋体"/>
                <w:color w:val="auto"/>
                <w:sz w:val="24"/>
                <w:szCs w:val="24"/>
              </w:rPr>
            </w:pPr>
          </w:p>
        </w:tc>
        <w:tc>
          <w:tcPr>
            <w:tcW w:w="1187" w:type="dxa"/>
          </w:tcPr>
          <w:p w14:paraId="359273DF">
            <w:pPr>
              <w:rPr>
                <w:rFonts w:hint="eastAsia" w:ascii="宋体" w:hAnsi="宋体" w:eastAsia="宋体" w:cs="宋体"/>
                <w:color w:val="auto"/>
                <w:sz w:val="24"/>
                <w:szCs w:val="24"/>
              </w:rPr>
            </w:pPr>
          </w:p>
        </w:tc>
        <w:tc>
          <w:tcPr>
            <w:tcW w:w="1187" w:type="dxa"/>
          </w:tcPr>
          <w:p w14:paraId="6AAB739E">
            <w:pPr>
              <w:rPr>
                <w:rFonts w:hint="eastAsia" w:ascii="宋体" w:hAnsi="宋体" w:eastAsia="宋体" w:cs="宋体"/>
                <w:color w:val="auto"/>
                <w:sz w:val="24"/>
                <w:szCs w:val="24"/>
              </w:rPr>
            </w:pPr>
          </w:p>
        </w:tc>
      </w:tr>
      <w:tr w14:paraId="54C45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7C81E32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187" w:type="dxa"/>
          </w:tcPr>
          <w:p w14:paraId="042EB6B8">
            <w:pPr>
              <w:rPr>
                <w:rFonts w:hint="eastAsia" w:ascii="宋体" w:hAnsi="宋体" w:eastAsia="宋体" w:cs="宋体"/>
                <w:color w:val="auto"/>
                <w:sz w:val="24"/>
                <w:szCs w:val="24"/>
              </w:rPr>
            </w:pPr>
          </w:p>
        </w:tc>
        <w:tc>
          <w:tcPr>
            <w:tcW w:w="1187" w:type="dxa"/>
          </w:tcPr>
          <w:p w14:paraId="5D5A18EB">
            <w:pPr>
              <w:rPr>
                <w:rFonts w:hint="eastAsia" w:ascii="宋体" w:hAnsi="宋体" w:eastAsia="宋体" w:cs="宋体"/>
                <w:color w:val="auto"/>
                <w:sz w:val="24"/>
                <w:szCs w:val="24"/>
              </w:rPr>
            </w:pPr>
          </w:p>
        </w:tc>
        <w:tc>
          <w:tcPr>
            <w:tcW w:w="1187" w:type="dxa"/>
          </w:tcPr>
          <w:p w14:paraId="746C2D26">
            <w:pPr>
              <w:rPr>
                <w:rFonts w:hint="eastAsia" w:ascii="宋体" w:hAnsi="宋体" w:eastAsia="宋体" w:cs="宋体"/>
                <w:color w:val="auto"/>
                <w:sz w:val="24"/>
                <w:szCs w:val="24"/>
              </w:rPr>
            </w:pPr>
          </w:p>
        </w:tc>
        <w:tc>
          <w:tcPr>
            <w:tcW w:w="1187" w:type="dxa"/>
          </w:tcPr>
          <w:p w14:paraId="6592A9F6">
            <w:pPr>
              <w:rPr>
                <w:rFonts w:hint="eastAsia" w:ascii="宋体" w:hAnsi="宋体" w:eastAsia="宋体" w:cs="宋体"/>
                <w:color w:val="auto"/>
                <w:sz w:val="24"/>
                <w:szCs w:val="24"/>
              </w:rPr>
            </w:pPr>
          </w:p>
        </w:tc>
        <w:tc>
          <w:tcPr>
            <w:tcW w:w="1187" w:type="dxa"/>
          </w:tcPr>
          <w:p w14:paraId="7A839D96">
            <w:pPr>
              <w:rPr>
                <w:rFonts w:hint="eastAsia" w:ascii="宋体" w:hAnsi="宋体" w:eastAsia="宋体" w:cs="宋体"/>
                <w:color w:val="auto"/>
                <w:sz w:val="24"/>
                <w:szCs w:val="24"/>
              </w:rPr>
            </w:pPr>
          </w:p>
        </w:tc>
      </w:tr>
    </w:tbl>
    <w:p w14:paraId="7A4BE72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7F59A36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1、本表应按照下列规定填写：</w:t>
      </w:r>
    </w:p>
    <w:p w14:paraId="51C5F4F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1.1“采购包”、“品目号”、“投标标的”及“数量”应与招标文件《采购标的一览表》中的有关内容（“采购包”、“品目号”、“采购标的”及“数量”）保持一致。</w:t>
      </w:r>
    </w:p>
    <w:p w14:paraId="03746A6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70EEEAC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1.3“投标标的”为服务的：“规格”项下应填写服务提供者提供的服务标准及品牌（若有）。“来源地”应填写服务提供者的所在地。“备注”项下应填写关于服务标准所涵盖的具体项目或内容的说明等。</w:t>
      </w:r>
    </w:p>
    <w:p w14:paraId="19B1066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2、投标人需要说明的内容若需特殊表达，应先在本表中进行相应说明，再另页应答，但应做好标注说明，方便评委查阅评审。未标注说明可能导致的不利的评审后果由投标人自行承担。</w:t>
      </w:r>
    </w:p>
    <w:p w14:paraId="354F62A7">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3、电子投标文件中涉及“投标标的”、“数量”、“规格”、“来源地”的内容若不一致，以投标客户端的投标（响应）报价明细表为准。</w:t>
      </w:r>
    </w:p>
    <w:p w14:paraId="31A828CD">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03EB1717">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35F6C9C9">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3ABA0D56">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二、技术和服务要求响应表</w:t>
      </w:r>
    </w:p>
    <w:p w14:paraId="197B771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EB269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AC0B5F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w:t>
            </w:r>
          </w:p>
        </w:tc>
        <w:tc>
          <w:tcPr>
            <w:tcW w:w="1661" w:type="dxa"/>
          </w:tcPr>
          <w:p w14:paraId="1ABEE0FF">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品目号</w:t>
            </w:r>
          </w:p>
        </w:tc>
        <w:tc>
          <w:tcPr>
            <w:tcW w:w="1661" w:type="dxa"/>
          </w:tcPr>
          <w:p w14:paraId="7A1D4CA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技术和服务要求</w:t>
            </w:r>
          </w:p>
        </w:tc>
        <w:tc>
          <w:tcPr>
            <w:tcW w:w="1661" w:type="dxa"/>
          </w:tcPr>
          <w:p w14:paraId="64809F9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投标响应</w:t>
            </w:r>
          </w:p>
        </w:tc>
        <w:tc>
          <w:tcPr>
            <w:tcW w:w="1661" w:type="dxa"/>
          </w:tcPr>
          <w:p w14:paraId="3D7506E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是否偏离及说明</w:t>
            </w:r>
          </w:p>
        </w:tc>
      </w:tr>
      <w:tr w14:paraId="64667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0FEDD46">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661" w:type="dxa"/>
          </w:tcPr>
          <w:p w14:paraId="1C564F38">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661" w:type="dxa"/>
          </w:tcPr>
          <w:p w14:paraId="6E9EB46C">
            <w:pPr>
              <w:rPr>
                <w:rFonts w:hint="eastAsia" w:ascii="宋体" w:hAnsi="宋体" w:eastAsia="宋体" w:cs="宋体"/>
                <w:color w:val="auto"/>
                <w:sz w:val="24"/>
                <w:szCs w:val="24"/>
              </w:rPr>
            </w:pPr>
          </w:p>
        </w:tc>
        <w:tc>
          <w:tcPr>
            <w:tcW w:w="1661" w:type="dxa"/>
          </w:tcPr>
          <w:p w14:paraId="17ECBDA7">
            <w:pPr>
              <w:rPr>
                <w:rFonts w:hint="eastAsia" w:ascii="宋体" w:hAnsi="宋体" w:eastAsia="宋体" w:cs="宋体"/>
                <w:color w:val="auto"/>
                <w:sz w:val="24"/>
                <w:szCs w:val="24"/>
              </w:rPr>
            </w:pPr>
          </w:p>
        </w:tc>
        <w:tc>
          <w:tcPr>
            <w:tcW w:w="1661" w:type="dxa"/>
          </w:tcPr>
          <w:p w14:paraId="6B2120DE">
            <w:pPr>
              <w:rPr>
                <w:rFonts w:hint="eastAsia" w:ascii="宋体" w:hAnsi="宋体" w:eastAsia="宋体" w:cs="宋体"/>
                <w:color w:val="auto"/>
                <w:sz w:val="24"/>
                <w:szCs w:val="24"/>
              </w:rPr>
            </w:pPr>
          </w:p>
        </w:tc>
      </w:tr>
      <w:tr w14:paraId="40C683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9C82CE8">
            <w:pPr>
              <w:rPr>
                <w:rFonts w:hint="eastAsia" w:ascii="宋体" w:hAnsi="宋体" w:eastAsia="宋体" w:cs="宋体"/>
                <w:color w:val="auto"/>
                <w:sz w:val="24"/>
                <w:szCs w:val="24"/>
              </w:rPr>
            </w:pPr>
          </w:p>
        </w:tc>
        <w:tc>
          <w:tcPr>
            <w:tcW w:w="1661" w:type="dxa"/>
          </w:tcPr>
          <w:p w14:paraId="64C8573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661" w:type="dxa"/>
          </w:tcPr>
          <w:p w14:paraId="2B631AE4">
            <w:pPr>
              <w:rPr>
                <w:rFonts w:hint="eastAsia" w:ascii="宋体" w:hAnsi="宋体" w:eastAsia="宋体" w:cs="宋体"/>
                <w:color w:val="auto"/>
                <w:sz w:val="24"/>
                <w:szCs w:val="24"/>
              </w:rPr>
            </w:pPr>
          </w:p>
        </w:tc>
        <w:tc>
          <w:tcPr>
            <w:tcW w:w="1661" w:type="dxa"/>
          </w:tcPr>
          <w:p w14:paraId="23F52C2F">
            <w:pPr>
              <w:rPr>
                <w:rFonts w:hint="eastAsia" w:ascii="宋体" w:hAnsi="宋体" w:eastAsia="宋体" w:cs="宋体"/>
                <w:color w:val="auto"/>
                <w:sz w:val="24"/>
                <w:szCs w:val="24"/>
              </w:rPr>
            </w:pPr>
          </w:p>
        </w:tc>
        <w:tc>
          <w:tcPr>
            <w:tcW w:w="1661" w:type="dxa"/>
          </w:tcPr>
          <w:p w14:paraId="5A755345">
            <w:pPr>
              <w:rPr>
                <w:rFonts w:hint="eastAsia" w:ascii="宋体" w:hAnsi="宋体" w:eastAsia="宋体" w:cs="宋体"/>
                <w:color w:val="auto"/>
                <w:sz w:val="24"/>
                <w:szCs w:val="24"/>
              </w:rPr>
            </w:pPr>
          </w:p>
        </w:tc>
      </w:tr>
      <w:tr w14:paraId="3B9EE7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FF2B7E4">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661" w:type="dxa"/>
          </w:tcPr>
          <w:p w14:paraId="661B9D23">
            <w:pPr>
              <w:rPr>
                <w:rFonts w:hint="eastAsia" w:ascii="宋体" w:hAnsi="宋体" w:eastAsia="宋体" w:cs="宋体"/>
                <w:color w:val="auto"/>
                <w:sz w:val="24"/>
                <w:szCs w:val="24"/>
              </w:rPr>
            </w:pPr>
          </w:p>
        </w:tc>
        <w:tc>
          <w:tcPr>
            <w:tcW w:w="1661" w:type="dxa"/>
          </w:tcPr>
          <w:p w14:paraId="748E0434">
            <w:pPr>
              <w:rPr>
                <w:rFonts w:hint="eastAsia" w:ascii="宋体" w:hAnsi="宋体" w:eastAsia="宋体" w:cs="宋体"/>
                <w:color w:val="auto"/>
                <w:sz w:val="24"/>
                <w:szCs w:val="24"/>
              </w:rPr>
            </w:pPr>
          </w:p>
        </w:tc>
        <w:tc>
          <w:tcPr>
            <w:tcW w:w="1661" w:type="dxa"/>
          </w:tcPr>
          <w:p w14:paraId="37857871">
            <w:pPr>
              <w:rPr>
                <w:rFonts w:hint="eastAsia" w:ascii="宋体" w:hAnsi="宋体" w:eastAsia="宋体" w:cs="宋体"/>
                <w:color w:val="auto"/>
                <w:sz w:val="24"/>
                <w:szCs w:val="24"/>
              </w:rPr>
            </w:pPr>
          </w:p>
        </w:tc>
        <w:tc>
          <w:tcPr>
            <w:tcW w:w="1661" w:type="dxa"/>
          </w:tcPr>
          <w:p w14:paraId="6DB4136B">
            <w:pPr>
              <w:rPr>
                <w:rFonts w:hint="eastAsia" w:ascii="宋体" w:hAnsi="宋体" w:eastAsia="宋体" w:cs="宋体"/>
                <w:color w:val="auto"/>
                <w:sz w:val="24"/>
                <w:szCs w:val="24"/>
              </w:rPr>
            </w:pPr>
          </w:p>
        </w:tc>
      </w:tr>
    </w:tbl>
    <w:p w14:paraId="4A07FD11">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2219E019">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1、本表应按照下列规定填写：</w:t>
      </w:r>
    </w:p>
    <w:p w14:paraId="27F1AB7B">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1.1“技术和服务要求”项下填写的内容应与招标文件第五章“技术和服务要求”的内容保持一致。</w:t>
      </w:r>
    </w:p>
    <w:p w14:paraId="4A230B7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6F7A31D2">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1.3“是否偏离及说明”项下应按下列规定填写：优于的，填写“正偏离”；符合的，填写“无偏离”；低于的，填写“负偏离”。</w:t>
      </w:r>
    </w:p>
    <w:p w14:paraId="2783A878">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2、投标人需要说明的内容若需特殊表达，应先在本表中进行相应说明，再另页应答，但应做好标注说明，方便评委查阅评审。未标注说明可能导致的不利的评审后果由投标人自行承担。</w:t>
      </w:r>
    </w:p>
    <w:p w14:paraId="69C956A6">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48896A8A">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29B866CF">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49AED944">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三、商务条件响应表</w:t>
      </w:r>
    </w:p>
    <w:p w14:paraId="301E6D7F">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项目编号：</w:t>
      </w:r>
      <w:r>
        <w:rPr>
          <w:rFonts w:hint="eastAsia" w:ascii="宋体" w:hAnsi="宋体" w:eastAsia="宋体" w:cs="宋体"/>
          <w:color w:val="auto"/>
          <w:sz w:val="24"/>
          <w:szCs w:val="24"/>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BD7F0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121E22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采购包</w:t>
            </w:r>
          </w:p>
        </w:tc>
        <w:tc>
          <w:tcPr>
            <w:tcW w:w="1661" w:type="dxa"/>
          </w:tcPr>
          <w:p w14:paraId="330A4AB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品目号</w:t>
            </w:r>
          </w:p>
        </w:tc>
        <w:tc>
          <w:tcPr>
            <w:tcW w:w="1661" w:type="dxa"/>
          </w:tcPr>
          <w:p w14:paraId="55E26723">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商务条件</w:t>
            </w:r>
          </w:p>
        </w:tc>
        <w:tc>
          <w:tcPr>
            <w:tcW w:w="1661" w:type="dxa"/>
          </w:tcPr>
          <w:p w14:paraId="149134B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投标响应</w:t>
            </w:r>
          </w:p>
        </w:tc>
        <w:tc>
          <w:tcPr>
            <w:tcW w:w="1661" w:type="dxa"/>
          </w:tcPr>
          <w:p w14:paraId="7A248B8E">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是否偏离及说明</w:t>
            </w:r>
          </w:p>
        </w:tc>
      </w:tr>
      <w:tr w14:paraId="7D104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49E5AAE1">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661" w:type="dxa"/>
          </w:tcPr>
          <w:p w14:paraId="15AA97EB">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661" w:type="dxa"/>
          </w:tcPr>
          <w:p w14:paraId="76A3C792">
            <w:pPr>
              <w:rPr>
                <w:rFonts w:hint="eastAsia" w:ascii="宋体" w:hAnsi="宋体" w:eastAsia="宋体" w:cs="宋体"/>
                <w:color w:val="auto"/>
                <w:sz w:val="24"/>
                <w:szCs w:val="24"/>
              </w:rPr>
            </w:pPr>
          </w:p>
        </w:tc>
        <w:tc>
          <w:tcPr>
            <w:tcW w:w="1661" w:type="dxa"/>
          </w:tcPr>
          <w:p w14:paraId="439BC606">
            <w:pPr>
              <w:rPr>
                <w:rFonts w:hint="eastAsia" w:ascii="宋体" w:hAnsi="宋体" w:eastAsia="宋体" w:cs="宋体"/>
                <w:color w:val="auto"/>
                <w:sz w:val="24"/>
                <w:szCs w:val="24"/>
              </w:rPr>
            </w:pPr>
          </w:p>
        </w:tc>
        <w:tc>
          <w:tcPr>
            <w:tcW w:w="1661" w:type="dxa"/>
          </w:tcPr>
          <w:p w14:paraId="714E1F32">
            <w:pPr>
              <w:rPr>
                <w:rFonts w:hint="eastAsia" w:ascii="宋体" w:hAnsi="宋体" w:eastAsia="宋体" w:cs="宋体"/>
                <w:color w:val="auto"/>
                <w:sz w:val="24"/>
                <w:szCs w:val="24"/>
              </w:rPr>
            </w:pPr>
          </w:p>
        </w:tc>
      </w:tr>
      <w:tr w14:paraId="5F3C9D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2B163B5">
            <w:pPr>
              <w:rPr>
                <w:rFonts w:hint="eastAsia" w:ascii="宋体" w:hAnsi="宋体" w:eastAsia="宋体" w:cs="宋体"/>
                <w:color w:val="auto"/>
                <w:sz w:val="24"/>
                <w:szCs w:val="24"/>
              </w:rPr>
            </w:pPr>
          </w:p>
        </w:tc>
        <w:tc>
          <w:tcPr>
            <w:tcW w:w="1661" w:type="dxa"/>
          </w:tcPr>
          <w:p w14:paraId="00C316A0">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661" w:type="dxa"/>
          </w:tcPr>
          <w:p w14:paraId="7BF84C0A">
            <w:pPr>
              <w:rPr>
                <w:rFonts w:hint="eastAsia" w:ascii="宋体" w:hAnsi="宋体" w:eastAsia="宋体" w:cs="宋体"/>
                <w:color w:val="auto"/>
                <w:sz w:val="24"/>
                <w:szCs w:val="24"/>
              </w:rPr>
            </w:pPr>
          </w:p>
        </w:tc>
        <w:tc>
          <w:tcPr>
            <w:tcW w:w="1661" w:type="dxa"/>
          </w:tcPr>
          <w:p w14:paraId="4AD562FD">
            <w:pPr>
              <w:rPr>
                <w:rFonts w:hint="eastAsia" w:ascii="宋体" w:hAnsi="宋体" w:eastAsia="宋体" w:cs="宋体"/>
                <w:color w:val="auto"/>
                <w:sz w:val="24"/>
                <w:szCs w:val="24"/>
              </w:rPr>
            </w:pPr>
          </w:p>
        </w:tc>
        <w:tc>
          <w:tcPr>
            <w:tcW w:w="1661" w:type="dxa"/>
          </w:tcPr>
          <w:p w14:paraId="75465E30">
            <w:pPr>
              <w:rPr>
                <w:rFonts w:hint="eastAsia" w:ascii="宋体" w:hAnsi="宋体" w:eastAsia="宋体" w:cs="宋体"/>
                <w:color w:val="auto"/>
                <w:sz w:val="24"/>
                <w:szCs w:val="24"/>
              </w:rPr>
            </w:pPr>
          </w:p>
        </w:tc>
      </w:tr>
      <w:tr w14:paraId="7A4845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AFAF16D">
            <w:pPr>
              <w:pStyle w:val="11"/>
              <w:jc w:val="left"/>
              <w:rPr>
                <w:rFonts w:hint="eastAsia" w:ascii="宋体" w:hAnsi="宋体" w:eastAsia="宋体" w:cs="宋体"/>
                <w:color w:val="auto"/>
                <w:sz w:val="24"/>
                <w:szCs w:val="24"/>
              </w:rPr>
            </w:pPr>
            <w:r>
              <w:rPr>
                <w:rFonts w:hint="eastAsia" w:ascii="宋体" w:hAnsi="宋体" w:eastAsia="宋体" w:cs="宋体"/>
                <w:color w:val="auto"/>
                <w:sz w:val="24"/>
                <w:szCs w:val="24"/>
              </w:rPr>
              <w:t>…</w:t>
            </w:r>
          </w:p>
        </w:tc>
        <w:tc>
          <w:tcPr>
            <w:tcW w:w="1661" w:type="dxa"/>
          </w:tcPr>
          <w:p w14:paraId="2D01710A">
            <w:pPr>
              <w:rPr>
                <w:rFonts w:hint="eastAsia" w:ascii="宋体" w:hAnsi="宋体" w:eastAsia="宋体" w:cs="宋体"/>
                <w:color w:val="auto"/>
                <w:sz w:val="24"/>
                <w:szCs w:val="24"/>
              </w:rPr>
            </w:pPr>
          </w:p>
        </w:tc>
        <w:tc>
          <w:tcPr>
            <w:tcW w:w="1661" w:type="dxa"/>
          </w:tcPr>
          <w:p w14:paraId="7CDB5D82">
            <w:pPr>
              <w:rPr>
                <w:rFonts w:hint="eastAsia" w:ascii="宋体" w:hAnsi="宋体" w:eastAsia="宋体" w:cs="宋体"/>
                <w:color w:val="auto"/>
                <w:sz w:val="24"/>
                <w:szCs w:val="24"/>
              </w:rPr>
            </w:pPr>
          </w:p>
        </w:tc>
        <w:tc>
          <w:tcPr>
            <w:tcW w:w="1661" w:type="dxa"/>
          </w:tcPr>
          <w:p w14:paraId="609629AC">
            <w:pPr>
              <w:rPr>
                <w:rFonts w:hint="eastAsia" w:ascii="宋体" w:hAnsi="宋体" w:eastAsia="宋体" w:cs="宋体"/>
                <w:color w:val="auto"/>
                <w:sz w:val="24"/>
                <w:szCs w:val="24"/>
              </w:rPr>
            </w:pPr>
          </w:p>
        </w:tc>
        <w:tc>
          <w:tcPr>
            <w:tcW w:w="1661" w:type="dxa"/>
          </w:tcPr>
          <w:p w14:paraId="299E6346">
            <w:pPr>
              <w:rPr>
                <w:rFonts w:hint="eastAsia" w:ascii="宋体" w:hAnsi="宋体" w:eastAsia="宋体" w:cs="宋体"/>
                <w:color w:val="auto"/>
                <w:sz w:val="24"/>
                <w:szCs w:val="24"/>
              </w:rPr>
            </w:pPr>
          </w:p>
        </w:tc>
      </w:tr>
    </w:tbl>
    <w:p w14:paraId="61367CBE">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※注意：</w:t>
      </w:r>
    </w:p>
    <w:p w14:paraId="78F98DBD">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1、本表应按照下列规定填写：</w:t>
      </w:r>
    </w:p>
    <w:p w14:paraId="388EB975">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1.1“商务条件”项下填写的内容应与招标文件第五章“商务条件”的内容保持一致。</w:t>
      </w:r>
    </w:p>
    <w:p w14:paraId="2A3C52A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1.2“投标响应”项下应填写具体的响应内容并与“商务条件”项下填写的内容逐项对应；对“商务条件”项下涉及“≥或＞”、“≤或＜”及某个区间值范围内的内容，应填写具体的数值。</w:t>
      </w:r>
    </w:p>
    <w:p w14:paraId="72DEA94C">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1.3“是否偏离及说明”项下应按下列规定填写：优于的，填写“正偏离”；符合的，填写“无偏离”；低于的，填写“负偏离”。</w:t>
      </w:r>
    </w:p>
    <w:p w14:paraId="337CDAB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2、投标人需要说明的内容若需特殊表达，应先在本表中进行相应说明，再另页应答，但应做好标注说明，方便评委查阅评审。未标注说明可能导致的不利的评审后果由投标人自行承担。</w:t>
      </w:r>
    </w:p>
    <w:p w14:paraId="360AA63F">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w:t>
      </w:r>
      <w:r>
        <w:rPr>
          <w:rFonts w:hint="eastAsia" w:ascii="宋体" w:hAnsi="宋体" w:eastAsia="宋体" w:cs="宋体"/>
          <w:color w:val="auto"/>
          <w:sz w:val="24"/>
          <w:szCs w:val="24"/>
          <w:u w:val="single"/>
        </w:rPr>
        <w:t>（全称并加盖单位公章）</w:t>
      </w:r>
    </w:p>
    <w:p w14:paraId="2A602A5F">
      <w:pPr>
        <w:pStyle w:val="11"/>
        <w:ind w:firstLine="480"/>
        <w:jc w:val="right"/>
        <w:rPr>
          <w:rFonts w:hint="eastAsia" w:ascii="宋体" w:hAnsi="宋体" w:eastAsia="宋体" w:cs="宋体"/>
          <w:color w:val="auto"/>
          <w:sz w:val="24"/>
          <w:szCs w:val="24"/>
        </w:rPr>
      </w:pPr>
      <w:r>
        <w:rPr>
          <w:rFonts w:hint="eastAsia" w:ascii="宋体" w:hAnsi="宋体" w:eastAsia="宋体" w:cs="宋体"/>
          <w:color w:val="auto"/>
          <w:sz w:val="24"/>
          <w:szCs w:val="24"/>
        </w:rPr>
        <w:t>日期：</w:t>
      </w:r>
      <w:r>
        <w:rPr>
          <w:rFonts w:hint="eastAsia" w:ascii="宋体" w:hAnsi="宋体" w:eastAsia="宋体" w:cs="宋体"/>
          <w:color w:val="auto"/>
          <w:sz w:val="24"/>
          <w:szCs w:val="24"/>
          <w:u w:val="single"/>
        </w:rPr>
        <w:t>　　年　　月　　日</w:t>
      </w:r>
    </w:p>
    <w:p w14:paraId="55FBFCA6">
      <w:pPr>
        <w:pStyle w:val="11"/>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rPr>
        <w:br w:type="textWrapping"/>
      </w:r>
      <w:r>
        <w:rPr>
          <w:rFonts w:hint="eastAsia" w:ascii="宋体" w:hAnsi="宋体" w:eastAsia="宋体" w:cs="宋体"/>
          <w:color w:val="auto"/>
          <w:sz w:val="24"/>
          <w:szCs w:val="24"/>
        </w:rPr>
        <w:br w:type="page"/>
      </w:r>
    </w:p>
    <w:p w14:paraId="08DA81E1">
      <w:pPr>
        <w:pStyle w:val="11"/>
        <w:jc w:val="center"/>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四、投标人提交的其他资料（若有）</w:t>
      </w:r>
    </w:p>
    <w:p w14:paraId="37F99378">
      <w:pPr>
        <w:pStyle w:val="11"/>
        <w:ind w:firstLine="480"/>
        <w:jc w:val="center"/>
        <w:rPr>
          <w:rFonts w:hint="eastAsia" w:ascii="宋体" w:hAnsi="宋体" w:eastAsia="宋体" w:cs="宋体"/>
          <w:color w:val="auto"/>
          <w:sz w:val="24"/>
          <w:szCs w:val="24"/>
        </w:rPr>
      </w:pPr>
      <w:r>
        <w:rPr>
          <w:rFonts w:hint="eastAsia" w:ascii="宋体" w:hAnsi="宋体" w:eastAsia="宋体" w:cs="宋体"/>
          <w:color w:val="auto"/>
          <w:sz w:val="24"/>
          <w:szCs w:val="24"/>
        </w:rPr>
        <w:t>编制说明</w:t>
      </w:r>
    </w:p>
    <w:p w14:paraId="0032CDF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1、招标文件要求提交的除“资格及资信证明部分”、“报价部分”外的其他证明材料或资料加盖投标人的单位公章后应在此项下提交。</w:t>
      </w:r>
    </w:p>
    <w:p w14:paraId="719D5C34">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2、招标文件要求投标人提供方案（包括但不限于：组织、实施、技术、服务方案等）的，投标人应在此项下提交。</w:t>
      </w:r>
    </w:p>
    <w:p w14:paraId="26B12D6A">
      <w:pPr>
        <w:pStyle w:val="11"/>
        <w:ind w:firstLine="480"/>
        <w:jc w:val="left"/>
        <w:rPr>
          <w:rFonts w:hint="eastAsia" w:ascii="宋体" w:hAnsi="宋体" w:eastAsia="宋体" w:cs="宋体"/>
          <w:color w:val="auto"/>
          <w:sz w:val="24"/>
          <w:szCs w:val="24"/>
        </w:rPr>
      </w:pPr>
      <w:r>
        <w:rPr>
          <w:rFonts w:hint="eastAsia" w:ascii="宋体" w:hAnsi="宋体" w:eastAsia="宋体" w:cs="宋体"/>
          <w:color w:val="auto"/>
          <w:sz w:val="24"/>
          <w:szCs w:val="24"/>
        </w:rPr>
        <w:t>3、除招标文件另有规定外，投标人认为需要提交的其他证明材料或资料加盖投标人的单位公章后应在此项下提交。</w:t>
      </w:r>
    </w:p>
    <w:p w14:paraId="77F49582">
      <w:pPr>
        <w:pStyle w:val="11"/>
        <w:rPr>
          <w:rFonts w:hint="eastAsia" w:ascii="宋体" w:hAnsi="宋体" w:eastAsia="宋体" w:cs="宋体"/>
          <w:color w:val="auto"/>
          <w:sz w:val="24"/>
          <w:szCs w:val="24"/>
          <w:lang w:val="en-US"/>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7CCDD">
    <w:pPr>
      <w:pStyle w:val="4"/>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47ADEBC">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047ADEBC">
                    <w:pPr>
                      <w:pStyle w:val="4"/>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312C7"/>
    <w:rsid w:val="02FD0763"/>
    <w:rsid w:val="05284E67"/>
    <w:rsid w:val="06653523"/>
    <w:rsid w:val="09D52819"/>
    <w:rsid w:val="0A426E61"/>
    <w:rsid w:val="0BD97415"/>
    <w:rsid w:val="0CB453C9"/>
    <w:rsid w:val="10FE6A36"/>
    <w:rsid w:val="12B74E4F"/>
    <w:rsid w:val="14A7367C"/>
    <w:rsid w:val="151A4381"/>
    <w:rsid w:val="19951810"/>
    <w:rsid w:val="1A650BC0"/>
    <w:rsid w:val="1ACE7A50"/>
    <w:rsid w:val="26A37079"/>
    <w:rsid w:val="26FB5F28"/>
    <w:rsid w:val="275C4657"/>
    <w:rsid w:val="28760635"/>
    <w:rsid w:val="29C02312"/>
    <w:rsid w:val="2B703EF5"/>
    <w:rsid w:val="2B8D595B"/>
    <w:rsid w:val="2C1A672D"/>
    <w:rsid w:val="2DF26B07"/>
    <w:rsid w:val="2FB37FFC"/>
    <w:rsid w:val="306B52A0"/>
    <w:rsid w:val="312D6D9F"/>
    <w:rsid w:val="319F32FD"/>
    <w:rsid w:val="34AB5843"/>
    <w:rsid w:val="387E017C"/>
    <w:rsid w:val="3AD17C0F"/>
    <w:rsid w:val="3B212CD4"/>
    <w:rsid w:val="3E2A67B8"/>
    <w:rsid w:val="400C1EA9"/>
    <w:rsid w:val="40ED7D2A"/>
    <w:rsid w:val="41867299"/>
    <w:rsid w:val="435403BA"/>
    <w:rsid w:val="435C1CF3"/>
    <w:rsid w:val="46D87B0C"/>
    <w:rsid w:val="478372A0"/>
    <w:rsid w:val="47CC41FD"/>
    <w:rsid w:val="48BE3782"/>
    <w:rsid w:val="4E5B5B21"/>
    <w:rsid w:val="509E58BD"/>
    <w:rsid w:val="513F6CCC"/>
    <w:rsid w:val="53133071"/>
    <w:rsid w:val="55F83B57"/>
    <w:rsid w:val="56F165D8"/>
    <w:rsid w:val="581F6921"/>
    <w:rsid w:val="5A0C20B7"/>
    <w:rsid w:val="5B020A3A"/>
    <w:rsid w:val="5E9B16F3"/>
    <w:rsid w:val="5ED61C23"/>
    <w:rsid w:val="61D15150"/>
    <w:rsid w:val="61F76558"/>
    <w:rsid w:val="64322AF9"/>
    <w:rsid w:val="64612140"/>
    <w:rsid w:val="64CF5F83"/>
    <w:rsid w:val="667B592C"/>
    <w:rsid w:val="67240DBF"/>
    <w:rsid w:val="69E00622"/>
    <w:rsid w:val="6CCF2B43"/>
    <w:rsid w:val="6CE24678"/>
    <w:rsid w:val="6DA34120"/>
    <w:rsid w:val="6F503DBF"/>
    <w:rsid w:val="6FD31ABC"/>
    <w:rsid w:val="72364210"/>
    <w:rsid w:val="73931214"/>
    <w:rsid w:val="73C151F0"/>
    <w:rsid w:val="7AD52E0C"/>
    <w:rsid w:val="7F514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qFormat/>
    <w:uiPriority w:val="0"/>
    <w:pPr>
      <w:spacing w:before="0" w:beforeAutospacing="1" w:after="0" w:afterAutospacing="1"/>
      <w:jc w:val="left"/>
    </w:pPr>
    <w:rPr>
      <w:rFonts w:hint="eastAsia" w:ascii="宋体" w:hAnsi="宋体" w:eastAsia="宋体" w:cs="宋体"/>
      <w:b/>
      <w:bCs/>
      <w:kern w:val="0"/>
      <w:sz w:val="27"/>
      <w:szCs w:val="27"/>
      <w:lang w:val="en-US" w:eastAsia="zh-CN"/>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null3"/>
    <w:qFormat/>
    <w:uiPriority w:val="0"/>
    <w:rPr>
      <w:rFonts w:hint="eastAsia" w:ascii="Calibri" w:hAnsi="Calibri" w:eastAsia="宋体" w:cs="宋体"/>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e23d7a-0be5-4d07-b23e-8fd3f2707948}">
  <ds:schemaRefs/>
</ds:datastoreItem>
</file>

<file path=docProps/app.xml><?xml version="1.0" encoding="utf-8"?>
<Properties xmlns="http://schemas.openxmlformats.org/officeDocument/2006/extended-properties" xmlns:vt="http://schemas.openxmlformats.org/officeDocument/2006/docPropsVTypes">
  <Template>Normal.dotm</Template>
  <Pages>88</Pages>
  <Words>1999</Words>
  <Characters>2272</Characters>
  <Paragraphs>1905</Paragraphs>
  <TotalTime>0</TotalTime>
  <ScaleCrop>false</ScaleCrop>
  <LinksUpToDate>false</LinksUpToDate>
  <CharactersWithSpaces>2288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维尼小熊</cp:lastModifiedBy>
  <cp:lastPrinted>2026-09-15T05:00:00Z</cp:lastPrinted>
  <dcterms:modified xsi:type="dcterms:W3CDTF">2026-09-17T09:20:58Z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B43C828D158E455A8C6638D41D3AF984_13</vt:lpwstr>
  </property>
  <property fmtid="{D5CDD505-2E9C-101B-9397-08002B2CF9AE}" pid="4" name="KSOTemplateDocerSaveRecord">
    <vt:lpwstr>eyJoZGlkIjoiNzhjMTI4Njk3MTFkYTgzYzk0ZTI3ZmZjYmRmMTVjYzMiLCJ1c2VySWQiOiI0ODY0NTIyNjMifQ==</vt:lpwstr>
  </property>
</Properties>
</file>