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p>
      <w:pPr>
        <w:jc w:val="center"/>
        <w:rPr>
          <w:rFonts w:hint="eastAsia" w:ascii="方正小标宋简体" w:eastAsia="方正小标宋简体"/>
          <w:sz w:val="44"/>
          <w:szCs w:val="44"/>
        </w:rPr>
      </w:pPr>
      <w:r>
        <w:rPr>
          <w:rFonts w:hint="eastAsia" w:ascii="方正小标宋简体" w:eastAsia="方正小标宋简体"/>
          <w:sz w:val="44"/>
          <w:szCs w:val="44"/>
        </w:rPr>
        <w:t>福建省非煤矿山安全监督检查意见表</w:t>
      </w:r>
    </w:p>
    <w:tbl>
      <w:tblPr>
        <w:tblStyle w:val="3"/>
        <w:tblW w:w="9419" w:type="dxa"/>
        <w:jc w:val="center"/>
        <w:tblInd w:w="-21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32"/>
        <w:gridCol w:w="1078"/>
        <w:gridCol w:w="1954"/>
        <w:gridCol w:w="2078"/>
        <w:gridCol w:w="27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10" w:type="dxa"/>
            <w:gridSpan w:val="2"/>
            <w:vMerge w:val="restart"/>
            <w:vAlign w:val="center"/>
          </w:tcPr>
          <w:p>
            <w:pPr>
              <w:spacing w:line="460" w:lineRule="exact"/>
              <w:jc w:val="center"/>
              <w:rPr>
                <w:rFonts w:hint="eastAsia" w:ascii="黑体" w:eastAsia="黑体"/>
                <w:sz w:val="28"/>
                <w:szCs w:val="28"/>
              </w:rPr>
            </w:pPr>
            <w:r>
              <w:rPr>
                <w:rFonts w:hint="eastAsia" w:ascii="黑体" w:eastAsia="黑体"/>
                <w:sz w:val="28"/>
                <w:szCs w:val="28"/>
              </w:rPr>
              <w:t>矿山类别</w:t>
            </w:r>
          </w:p>
        </w:tc>
        <w:tc>
          <w:tcPr>
            <w:tcW w:w="6809" w:type="dxa"/>
            <w:gridSpan w:val="3"/>
            <w:vAlign w:val="center"/>
          </w:tcPr>
          <w:p>
            <w:pPr>
              <w:spacing w:line="460" w:lineRule="exact"/>
              <w:jc w:val="center"/>
              <w:rPr>
                <w:rFonts w:hint="eastAsia" w:ascii="黑体" w:eastAsia="黑体"/>
                <w:sz w:val="28"/>
                <w:szCs w:val="28"/>
              </w:rPr>
            </w:pPr>
            <w:r>
              <w:rPr>
                <w:rFonts w:hint="eastAsia" w:ascii="黑体" w:eastAsia="黑体"/>
                <w:sz w:val="28"/>
                <w:szCs w:val="28"/>
              </w:rPr>
              <w:t>检查频率（抽查比例，检查次数）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10" w:type="dxa"/>
            <w:gridSpan w:val="2"/>
            <w:vMerge w:val="continue"/>
            <w:vAlign w:val="center"/>
          </w:tcPr>
          <w:p>
            <w:pPr>
              <w:spacing w:line="460" w:lineRule="exact"/>
              <w:jc w:val="center"/>
              <w:rPr>
                <w:rFonts w:hint="eastAsia" w:ascii="仿宋_GB2312" w:eastAsia="仿宋_GB2312"/>
                <w:sz w:val="28"/>
                <w:szCs w:val="28"/>
              </w:rPr>
            </w:pPr>
          </w:p>
        </w:tc>
        <w:tc>
          <w:tcPr>
            <w:tcW w:w="1954" w:type="dxa"/>
            <w:vAlign w:val="center"/>
          </w:tcPr>
          <w:p>
            <w:pPr>
              <w:spacing w:line="460" w:lineRule="exact"/>
              <w:jc w:val="center"/>
              <w:rPr>
                <w:rFonts w:hint="eastAsia" w:ascii="黑体" w:eastAsia="黑体"/>
                <w:sz w:val="28"/>
                <w:szCs w:val="28"/>
              </w:rPr>
            </w:pPr>
            <w:r>
              <w:rPr>
                <w:rFonts w:hint="eastAsia" w:ascii="黑体" w:eastAsia="黑体"/>
                <w:sz w:val="28"/>
                <w:szCs w:val="28"/>
              </w:rPr>
              <w:t>省级</w:t>
            </w:r>
          </w:p>
        </w:tc>
        <w:tc>
          <w:tcPr>
            <w:tcW w:w="2078" w:type="dxa"/>
            <w:vAlign w:val="center"/>
          </w:tcPr>
          <w:p>
            <w:pPr>
              <w:spacing w:line="460" w:lineRule="exact"/>
              <w:jc w:val="center"/>
              <w:rPr>
                <w:rFonts w:hint="eastAsia" w:ascii="黑体" w:eastAsia="黑体"/>
                <w:sz w:val="28"/>
                <w:szCs w:val="28"/>
              </w:rPr>
            </w:pPr>
            <w:r>
              <w:rPr>
                <w:rFonts w:hint="eastAsia" w:ascii="黑体" w:eastAsia="黑体"/>
                <w:sz w:val="28"/>
                <w:szCs w:val="28"/>
              </w:rPr>
              <w:t>市级</w:t>
            </w:r>
          </w:p>
        </w:tc>
        <w:tc>
          <w:tcPr>
            <w:tcW w:w="2777" w:type="dxa"/>
            <w:vAlign w:val="center"/>
          </w:tcPr>
          <w:p>
            <w:pPr>
              <w:spacing w:line="460" w:lineRule="exact"/>
              <w:jc w:val="center"/>
              <w:rPr>
                <w:rFonts w:hint="eastAsia" w:ascii="黑体" w:eastAsia="黑体"/>
                <w:sz w:val="28"/>
                <w:szCs w:val="28"/>
              </w:rPr>
            </w:pPr>
            <w:r>
              <w:rPr>
                <w:rFonts w:hint="eastAsia" w:ascii="黑体" w:eastAsia="黑体"/>
                <w:sz w:val="28"/>
                <w:szCs w:val="28"/>
              </w:rPr>
              <w:t>县级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10" w:type="dxa"/>
            <w:gridSpan w:val="2"/>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停产停建矿山</w:t>
            </w:r>
          </w:p>
          <w:p>
            <w:pPr>
              <w:spacing w:line="360" w:lineRule="exact"/>
              <w:rPr>
                <w:rFonts w:hint="eastAsia" w:ascii="仿宋_GB2312" w:eastAsia="仿宋_GB2312"/>
                <w:sz w:val="24"/>
                <w:szCs w:val="24"/>
              </w:rPr>
            </w:pPr>
            <w:r>
              <w:rPr>
                <w:rFonts w:hint="eastAsia" w:ascii="仿宋_GB2312" w:eastAsia="仿宋_GB2312"/>
                <w:sz w:val="24"/>
                <w:szCs w:val="24"/>
              </w:rPr>
              <w:t>（矿山有工商营业执照和采矿许可证，尾矿库有工商营业执照）</w:t>
            </w:r>
          </w:p>
        </w:tc>
        <w:tc>
          <w:tcPr>
            <w:tcW w:w="1954"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1%，随机抽查</w:t>
            </w:r>
          </w:p>
        </w:tc>
        <w:tc>
          <w:tcPr>
            <w:tcW w:w="2078" w:type="dxa"/>
            <w:vAlign w:val="center"/>
          </w:tcPr>
          <w:p>
            <w:pPr>
              <w:spacing w:line="460" w:lineRule="exact"/>
              <w:jc w:val="center"/>
              <w:rPr>
                <w:rFonts w:hint="eastAsia" w:ascii="仿宋_GB2312" w:eastAsia="仿宋_GB2312"/>
                <w:sz w:val="28"/>
                <w:szCs w:val="28"/>
              </w:rPr>
            </w:pPr>
            <w:r>
              <w:rPr>
                <w:rFonts w:hint="eastAsia" w:ascii="仿宋_GB2312" w:eastAsia="仿宋_GB2312"/>
                <w:sz w:val="24"/>
                <w:szCs w:val="24"/>
              </w:rPr>
              <w:t>5%，随机抽查</w:t>
            </w:r>
          </w:p>
        </w:tc>
        <w:tc>
          <w:tcPr>
            <w:tcW w:w="2777" w:type="dxa"/>
            <w:vAlign w:val="center"/>
          </w:tcPr>
          <w:p>
            <w:pPr>
              <w:spacing w:line="460" w:lineRule="exact"/>
              <w:jc w:val="center"/>
              <w:rPr>
                <w:rFonts w:hint="eastAsia" w:ascii="仿宋_GB2312" w:eastAsia="仿宋_GB2312"/>
                <w:sz w:val="28"/>
                <w:szCs w:val="28"/>
              </w:rPr>
            </w:pPr>
            <w:r>
              <w:rPr>
                <w:rFonts w:hint="eastAsia" w:ascii="仿宋_GB2312" w:eastAsia="仿宋_GB2312"/>
                <w:sz w:val="24"/>
                <w:szCs w:val="24"/>
              </w:rPr>
              <w:t>30%，随机抽查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32" w:type="dxa"/>
            <w:vMerge w:val="restart"/>
            <w:textDirection w:val="tbRlV"/>
            <w:vAlign w:val="center"/>
          </w:tcPr>
          <w:p>
            <w:pPr>
              <w:spacing w:line="460" w:lineRule="exact"/>
              <w:ind w:left="113" w:right="113"/>
              <w:jc w:val="center"/>
              <w:rPr>
                <w:rFonts w:hint="eastAsia" w:ascii="仿宋_GB2312" w:eastAsia="仿宋_GB2312"/>
                <w:sz w:val="24"/>
                <w:szCs w:val="24"/>
              </w:rPr>
            </w:pPr>
            <w:r>
              <w:rPr>
                <w:rFonts w:hint="eastAsia" w:ascii="仿宋_GB2312" w:eastAsia="仿宋_GB2312"/>
                <w:sz w:val="24"/>
                <w:szCs w:val="24"/>
              </w:rPr>
              <w:t>（按风险等级）</w:t>
            </w:r>
          </w:p>
          <w:p>
            <w:pPr>
              <w:spacing w:line="460" w:lineRule="exact"/>
              <w:ind w:left="113" w:right="113"/>
              <w:jc w:val="center"/>
              <w:rPr>
                <w:rFonts w:hint="eastAsia" w:ascii="仿宋_GB2312" w:eastAsia="仿宋_GB2312"/>
                <w:sz w:val="28"/>
                <w:szCs w:val="28"/>
              </w:rPr>
            </w:pPr>
            <w:r>
              <w:rPr>
                <w:rFonts w:hint="eastAsia" w:ascii="仿宋_GB2312" w:eastAsia="仿宋_GB2312"/>
                <w:sz w:val="24"/>
                <w:szCs w:val="24"/>
              </w:rPr>
              <w:t>生产矿山</w:t>
            </w:r>
          </w:p>
        </w:tc>
        <w:tc>
          <w:tcPr>
            <w:tcW w:w="1078" w:type="dxa"/>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A</w:t>
            </w:r>
          </w:p>
        </w:tc>
        <w:tc>
          <w:tcPr>
            <w:tcW w:w="1954"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1%，随机抽查</w:t>
            </w:r>
          </w:p>
        </w:tc>
        <w:tc>
          <w:tcPr>
            <w:tcW w:w="2078"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5%，随机抽查</w:t>
            </w:r>
          </w:p>
        </w:tc>
        <w:tc>
          <w:tcPr>
            <w:tcW w:w="2777"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30%，随机抽查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32" w:type="dxa"/>
            <w:vMerge w:val="continue"/>
            <w:vAlign w:val="center"/>
          </w:tcPr>
          <w:p>
            <w:pPr>
              <w:spacing w:line="460" w:lineRule="exact"/>
              <w:jc w:val="center"/>
              <w:rPr>
                <w:rFonts w:hint="eastAsia" w:ascii="仿宋_GB2312" w:eastAsia="仿宋_GB2312"/>
                <w:sz w:val="28"/>
                <w:szCs w:val="28"/>
              </w:rPr>
            </w:pPr>
          </w:p>
        </w:tc>
        <w:tc>
          <w:tcPr>
            <w:tcW w:w="1078" w:type="dxa"/>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B</w:t>
            </w:r>
          </w:p>
        </w:tc>
        <w:tc>
          <w:tcPr>
            <w:tcW w:w="1954"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1%，随机抽查</w:t>
            </w:r>
          </w:p>
        </w:tc>
        <w:tc>
          <w:tcPr>
            <w:tcW w:w="2078"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10%，随机抽查</w:t>
            </w:r>
          </w:p>
        </w:tc>
        <w:tc>
          <w:tcPr>
            <w:tcW w:w="2777"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100%，至少1次/年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32" w:type="dxa"/>
            <w:vMerge w:val="continue"/>
            <w:vAlign w:val="center"/>
          </w:tcPr>
          <w:p>
            <w:pPr>
              <w:spacing w:line="460" w:lineRule="exact"/>
              <w:jc w:val="center"/>
              <w:rPr>
                <w:rFonts w:hint="eastAsia" w:ascii="仿宋_GB2312" w:eastAsia="仿宋_GB2312"/>
                <w:sz w:val="28"/>
                <w:szCs w:val="28"/>
              </w:rPr>
            </w:pPr>
          </w:p>
        </w:tc>
        <w:tc>
          <w:tcPr>
            <w:tcW w:w="1078" w:type="dxa"/>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C</w:t>
            </w:r>
          </w:p>
        </w:tc>
        <w:tc>
          <w:tcPr>
            <w:tcW w:w="1954"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2%，随机抽查</w:t>
            </w:r>
          </w:p>
        </w:tc>
        <w:tc>
          <w:tcPr>
            <w:tcW w:w="2078"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20%，随机抽查</w:t>
            </w:r>
          </w:p>
        </w:tc>
        <w:tc>
          <w:tcPr>
            <w:tcW w:w="2777" w:type="dxa"/>
            <w:vAlign w:val="center"/>
          </w:tcPr>
          <w:p>
            <w:pPr>
              <w:spacing w:line="240" w:lineRule="atLeast"/>
              <w:rPr>
                <w:rFonts w:hint="eastAsia" w:ascii="仿宋_GB2312" w:eastAsia="仿宋_GB2312"/>
                <w:sz w:val="24"/>
                <w:szCs w:val="24"/>
              </w:rPr>
            </w:pPr>
            <w:r>
              <w:rPr>
                <w:rFonts w:hint="eastAsia" w:ascii="仿宋_GB2312" w:eastAsia="仿宋_GB2312"/>
                <w:sz w:val="24"/>
                <w:szCs w:val="24"/>
              </w:rPr>
              <w:t>100%，至少2次/年（其中1次为“会诊”检查）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32" w:type="dxa"/>
            <w:vMerge w:val="continue"/>
            <w:vAlign w:val="center"/>
          </w:tcPr>
          <w:p>
            <w:pPr>
              <w:spacing w:line="460" w:lineRule="exact"/>
              <w:jc w:val="center"/>
              <w:rPr>
                <w:rFonts w:hint="eastAsia" w:ascii="仿宋_GB2312" w:eastAsia="仿宋_GB2312"/>
                <w:sz w:val="28"/>
                <w:szCs w:val="28"/>
              </w:rPr>
            </w:pPr>
          </w:p>
        </w:tc>
        <w:tc>
          <w:tcPr>
            <w:tcW w:w="1078" w:type="dxa"/>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D</w:t>
            </w:r>
          </w:p>
        </w:tc>
        <w:tc>
          <w:tcPr>
            <w:tcW w:w="1954"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3%，随机抽查</w:t>
            </w:r>
          </w:p>
        </w:tc>
        <w:tc>
          <w:tcPr>
            <w:tcW w:w="2078"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30%，随机抽查</w:t>
            </w:r>
          </w:p>
        </w:tc>
        <w:tc>
          <w:tcPr>
            <w:tcW w:w="2777" w:type="dxa"/>
            <w:vAlign w:val="center"/>
          </w:tcPr>
          <w:p>
            <w:pPr>
              <w:spacing w:line="240" w:lineRule="atLeast"/>
              <w:rPr>
                <w:rFonts w:hint="eastAsia" w:ascii="仿宋_GB2312" w:eastAsia="仿宋_GB2312"/>
                <w:sz w:val="24"/>
                <w:szCs w:val="24"/>
              </w:rPr>
            </w:pPr>
            <w:r>
              <w:rPr>
                <w:rFonts w:hint="eastAsia" w:ascii="仿宋_GB2312" w:eastAsia="仿宋_GB2312"/>
                <w:sz w:val="24"/>
                <w:szCs w:val="24"/>
              </w:rPr>
              <w:t>100%，至少2次/年（其中1次为“会诊”检查）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10" w:type="dxa"/>
            <w:gridSpan w:val="2"/>
            <w:vAlign w:val="center"/>
          </w:tcPr>
          <w:p>
            <w:pPr>
              <w:spacing w:line="460" w:lineRule="exact"/>
              <w:jc w:val="center"/>
              <w:rPr>
                <w:rFonts w:hint="eastAsia" w:ascii="仿宋_GB2312" w:eastAsia="仿宋_GB2312"/>
                <w:sz w:val="28"/>
                <w:szCs w:val="28"/>
              </w:rPr>
            </w:pPr>
            <w:r>
              <w:rPr>
                <w:rFonts w:hint="eastAsia" w:ascii="仿宋_GB2312" w:eastAsia="仿宋_GB2312"/>
                <w:sz w:val="24"/>
                <w:szCs w:val="24"/>
              </w:rPr>
              <w:t>建设矿山</w:t>
            </w:r>
          </w:p>
        </w:tc>
        <w:tc>
          <w:tcPr>
            <w:tcW w:w="1954"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1%，随机抽查</w:t>
            </w:r>
          </w:p>
        </w:tc>
        <w:tc>
          <w:tcPr>
            <w:tcW w:w="2078"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10%，随机抽查</w:t>
            </w:r>
          </w:p>
        </w:tc>
        <w:tc>
          <w:tcPr>
            <w:tcW w:w="2777"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100%，至少1次/年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10" w:type="dxa"/>
            <w:gridSpan w:val="2"/>
            <w:vAlign w:val="center"/>
          </w:tcPr>
          <w:p>
            <w:pPr>
              <w:spacing w:line="360" w:lineRule="exact"/>
              <w:jc w:val="center"/>
              <w:rPr>
                <w:rFonts w:hint="eastAsia" w:ascii="仿宋_GB2312" w:eastAsia="仿宋_GB2312"/>
                <w:sz w:val="24"/>
                <w:szCs w:val="24"/>
              </w:rPr>
            </w:pPr>
            <w:r>
              <w:rPr>
                <w:rFonts w:hint="eastAsia" w:ascii="仿宋_GB2312" w:eastAsia="仿宋_GB2312"/>
                <w:sz w:val="24"/>
                <w:szCs w:val="24"/>
              </w:rPr>
              <w:t>危险性较小矿山</w:t>
            </w:r>
          </w:p>
          <w:p>
            <w:pPr>
              <w:spacing w:line="360" w:lineRule="exact"/>
              <w:jc w:val="center"/>
              <w:rPr>
                <w:rFonts w:hint="eastAsia" w:ascii="仿宋_GB2312" w:eastAsia="仿宋_GB2312"/>
                <w:sz w:val="24"/>
                <w:szCs w:val="24"/>
              </w:rPr>
            </w:pPr>
            <w:r>
              <w:rPr>
                <w:rFonts w:hint="eastAsia" w:ascii="仿宋_GB2312" w:eastAsia="仿宋_GB2312"/>
                <w:sz w:val="24"/>
                <w:szCs w:val="24"/>
              </w:rPr>
              <w:t>（有工商营业执照和采矿许可证）</w:t>
            </w:r>
          </w:p>
        </w:tc>
        <w:tc>
          <w:tcPr>
            <w:tcW w:w="1954"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1%，随机抽查</w:t>
            </w:r>
          </w:p>
        </w:tc>
        <w:tc>
          <w:tcPr>
            <w:tcW w:w="2078"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5%，随机抽查</w:t>
            </w:r>
          </w:p>
        </w:tc>
        <w:tc>
          <w:tcPr>
            <w:tcW w:w="2777" w:type="dxa"/>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30%，随机抽查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10" w:type="dxa"/>
            <w:gridSpan w:val="2"/>
            <w:vAlign w:val="center"/>
          </w:tcPr>
          <w:p>
            <w:pPr>
              <w:spacing w:line="460" w:lineRule="exact"/>
              <w:jc w:val="center"/>
              <w:rPr>
                <w:rFonts w:hint="eastAsia" w:ascii="仿宋_GB2312" w:eastAsia="仿宋_GB2312"/>
                <w:sz w:val="28"/>
                <w:szCs w:val="28"/>
              </w:rPr>
            </w:pPr>
            <w:r>
              <w:rPr>
                <w:rFonts w:hint="eastAsia" w:ascii="仿宋_GB2312" w:eastAsia="仿宋_GB2312"/>
                <w:sz w:val="24"/>
                <w:szCs w:val="24"/>
              </w:rPr>
              <w:t>采掘施工企业</w:t>
            </w:r>
          </w:p>
        </w:tc>
        <w:tc>
          <w:tcPr>
            <w:tcW w:w="6809" w:type="dxa"/>
            <w:gridSpan w:val="3"/>
            <w:vAlign w:val="center"/>
          </w:tcPr>
          <w:p>
            <w:pPr>
              <w:spacing w:line="460" w:lineRule="exact"/>
              <w:rPr>
                <w:rFonts w:hint="eastAsia" w:ascii="仿宋_GB2312" w:eastAsia="仿宋_GB2312"/>
                <w:sz w:val="24"/>
                <w:szCs w:val="24"/>
              </w:rPr>
            </w:pPr>
            <w:r>
              <w:rPr>
                <w:rFonts w:hint="eastAsia" w:ascii="仿宋_GB2312" w:eastAsia="仿宋_GB2312"/>
                <w:sz w:val="24"/>
                <w:szCs w:val="24"/>
              </w:rPr>
              <w:t>抽查比例为20%，在闽企业总部以省局组织当地安监部门联合检查为主，项目部及现场的安全生产情况纳入对生产矿山的抽查内容。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10" w:type="dxa"/>
            <w:gridSpan w:val="2"/>
            <w:vAlign w:val="center"/>
          </w:tcPr>
          <w:p>
            <w:pPr>
              <w:spacing w:line="460" w:lineRule="exact"/>
              <w:jc w:val="center"/>
              <w:rPr>
                <w:rFonts w:hint="eastAsia" w:ascii="仿宋_GB2312" w:eastAsia="仿宋_GB2312"/>
                <w:sz w:val="28"/>
                <w:szCs w:val="28"/>
              </w:rPr>
            </w:pPr>
            <w:r>
              <w:rPr>
                <w:rFonts w:hint="eastAsia" w:ascii="仿宋_GB2312" w:eastAsia="仿宋_GB2312"/>
                <w:sz w:val="24"/>
                <w:szCs w:val="24"/>
              </w:rPr>
              <w:t>地质勘探单位</w:t>
            </w:r>
          </w:p>
        </w:tc>
        <w:tc>
          <w:tcPr>
            <w:tcW w:w="6809" w:type="dxa"/>
            <w:gridSpan w:val="3"/>
            <w:vAlign w:val="center"/>
          </w:tcPr>
          <w:p>
            <w:pPr>
              <w:spacing w:line="460" w:lineRule="exact"/>
              <w:rPr>
                <w:rFonts w:hint="eastAsia" w:ascii="仿宋_GB2312" w:eastAsia="仿宋_GB2312"/>
                <w:sz w:val="24"/>
                <w:szCs w:val="24"/>
              </w:rPr>
            </w:pPr>
            <w:r>
              <w:rPr>
                <w:rFonts w:hint="eastAsia" w:ascii="仿宋_GB2312" w:eastAsia="仿宋_GB2312"/>
                <w:sz w:val="24"/>
                <w:szCs w:val="24"/>
              </w:rPr>
              <w:t>抽查比例为20%，以省局组织单位所在地安监部门联合检查为主。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10" w:type="dxa"/>
            <w:gridSpan w:val="2"/>
            <w:vAlign w:val="center"/>
          </w:tcPr>
          <w:p>
            <w:pPr>
              <w:spacing w:line="460" w:lineRule="exact"/>
              <w:jc w:val="center"/>
              <w:rPr>
                <w:rFonts w:hint="eastAsia" w:ascii="仿宋_GB2312" w:eastAsia="仿宋_GB2312"/>
                <w:sz w:val="24"/>
                <w:szCs w:val="24"/>
              </w:rPr>
            </w:pPr>
            <w:r>
              <w:rPr>
                <w:rFonts w:hint="eastAsia" w:ascii="仿宋_GB2312" w:eastAsia="仿宋_GB2312"/>
                <w:sz w:val="24"/>
                <w:szCs w:val="24"/>
              </w:rPr>
              <w:t>备注</w:t>
            </w:r>
          </w:p>
        </w:tc>
        <w:tc>
          <w:tcPr>
            <w:tcW w:w="6809" w:type="dxa"/>
            <w:gridSpan w:val="3"/>
            <w:vAlign w:val="center"/>
          </w:tcPr>
          <w:p>
            <w:pPr>
              <w:spacing w:line="460" w:lineRule="exact"/>
              <w:rPr>
                <w:rFonts w:hint="eastAsia" w:ascii="仿宋_GB2312" w:eastAsia="仿宋_GB2312"/>
                <w:sz w:val="24"/>
                <w:szCs w:val="24"/>
              </w:rPr>
            </w:pPr>
            <w:r>
              <w:rPr>
                <w:rFonts w:hint="eastAsia" w:ascii="仿宋_GB2312" w:eastAsia="仿宋_GB2312"/>
                <w:sz w:val="24"/>
                <w:szCs w:val="24"/>
              </w:rPr>
              <w:t>1、下级安监部门配合上级组织的安全检查，一并纳入下级安监部门的年度检查任务统计；</w:t>
            </w:r>
          </w:p>
          <w:p>
            <w:pPr>
              <w:spacing w:line="460" w:lineRule="exact"/>
              <w:rPr>
                <w:rFonts w:hint="eastAsia" w:ascii="仿宋_GB2312" w:eastAsia="仿宋_GB2312"/>
                <w:sz w:val="24"/>
                <w:szCs w:val="24"/>
              </w:rPr>
            </w:pPr>
            <w:r>
              <w:rPr>
                <w:rFonts w:hint="eastAsia" w:ascii="仿宋_GB2312" w:eastAsia="仿宋_GB2312"/>
                <w:sz w:val="24"/>
                <w:szCs w:val="24"/>
              </w:rPr>
              <w:t>2、每年年终各类矿山的统计结果作为下一年度制定执法计划和考核任务的依据。</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3692E"/>
    <w:rsid w:val="3651633E"/>
    <w:rsid w:val="3D581267"/>
    <w:rsid w:val="5A8555DE"/>
    <w:rsid w:val="788E1B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2016-05-03T01:12:21Z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