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C8CF1">
      <w:pPr>
        <w:pStyle w:val="28"/>
        <w:rPr>
          <w:color w:val="auto"/>
          <w:sz w:val="30"/>
          <w:szCs w:val="30"/>
          <w:highlight w:val="none"/>
        </w:rPr>
      </w:pPr>
    </w:p>
    <w:p w14:paraId="507AC900">
      <w:pPr>
        <w:rPr>
          <w:b/>
          <w:bCs/>
          <w:color w:val="auto"/>
          <w:sz w:val="52"/>
          <w:szCs w:val="52"/>
          <w:highlight w:val="none"/>
        </w:rPr>
      </w:pPr>
    </w:p>
    <w:p w14:paraId="064230F5">
      <w:pPr>
        <w:jc w:val="center"/>
        <w:rPr>
          <w:rFonts w:hint="eastAsia" w:ascii="仿宋" w:hAnsi="仿宋" w:eastAsia="仿宋" w:cs="Times New Roman"/>
          <w:b/>
          <w:bCs/>
          <w:color w:val="auto"/>
          <w:sz w:val="52"/>
          <w:szCs w:val="52"/>
          <w:highlight w:val="none"/>
        </w:rPr>
      </w:pPr>
      <w:r>
        <w:rPr>
          <w:rFonts w:hint="eastAsia" w:ascii="仿宋" w:hAnsi="仿宋" w:eastAsia="仿宋" w:cs="Times New Roman"/>
          <w:b/>
          <w:bCs/>
          <w:color w:val="auto"/>
          <w:sz w:val="52"/>
          <w:szCs w:val="52"/>
          <w:highlight w:val="none"/>
          <w:lang w:eastAsia="zh-CN"/>
        </w:rPr>
        <w:t>中央</w:t>
      </w:r>
      <w:r>
        <w:rPr>
          <w:rFonts w:hint="eastAsia" w:ascii="仿宋" w:hAnsi="仿宋" w:eastAsia="仿宋" w:cs="Times New Roman"/>
          <w:b/>
          <w:bCs/>
          <w:color w:val="auto"/>
          <w:sz w:val="52"/>
          <w:szCs w:val="52"/>
          <w:highlight w:val="none"/>
        </w:rPr>
        <w:t>转移支付</w:t>
      </w:r>
    </w:p>
    <w:p w14:paraId="09F21CDD">
      <w:pPr>
        <w:jc w:val="center"/>
        <w:rPr>
          <w:b/>
          <w:bCs/>
          <w:color w:val="auto"/>
          <w:sz w:val="52"/>
          <w:szCs w:val="22"/>
          <w:highlight w:val="none"/>
        </w:rPr>
      </w:pPr>
      <w:r>
        <w:rPr>
          <w:rFonts w:hint="eastAsia" w:ascii="仿宋" w:hAnsi="仿宋" w:eastAsia="仿宋"/>
          <w:b/>
          <w:bCs/>
          <w:color w:val="auto"/>
          <w:sz w:val="52"/>
          <w:szCs w:val="52"/>
          <w:highlight w:val="none"/>
        </w:rPr>
        <w:t>绩效自评报告</w:t>
      </w:r>
    </w:p>
    <w:p w14:paraId="45431D3A">
      <w:pPr>
        <w:ind w:firstLine="600"/>
        <w:jc w:val="center"/>
        <w:rPr>
          <w:rFonts w:eastAsia="黑体"/>
          <w:color w:val="auto"/>
          <w:sz w:val="30"/>
          <w:highlight w:val="none"/>
        </w:rPr>
      </w:pPr>
    </w:p>
    <w:p w14:paraId="61F3148F">
      <w:pPr>
        <w:ind w:firstLine="600"/>
        <w:jc w:val="center"/>
        <w:rPr>
          <w:rFonts w:eastAsia="黑体"/>
          <w:color w:val="auto"/>
          <w:sz w:val="30"/>
          <w:highlight w:val="none"/>
        </w:rPr>
      </w:pPr>
    </w:p>
    <w:p w14:paraId="060B197D">
      <w:pPr>
        <w:ind w:firstLine="600"/>
        <w:jc w:val="center"/>
        <w:rPr>
          <w:rFonts w:eastAsia="黑体"/>
          <w:color w:val="auto"/>
          <w:sz w:val="30"/>
          <w:highlight w:val="none"/>
        </w:rPr>
      </w:pPr>
    </w:p>
    <w:p w14:paraId="7F56BE9C">
      <w:pPr>
        <w:pStyle w:val="14"/>
        <w:rPr>
          <w:rFonts w:eastAsia="黑体"/>
          <w:color w:val="auto"/>
          <w:sz w:val="30"/>
          <w:highlight w:val="none"/>
        </w:rPr>
      </w:pPr>
    </w:p>
    <w:p w14:paraId="3E631EDF">
      <w:pPr>
        <w:pStyle w:val="14"/>
        <w:rPr>
          <w:rFonts w:eastAsia="黑体"/>
          <w:color w:val="auto"/>
          <w:sz w:val="30"/>
          <w:highlight w:val="none"/>
        </w:rPr>
      </w:pPr>
    </w:p>
    <w:p w14:paraId="3A04ED8C">
      <w:pPr>
        <w:ind w:firstLine="600"/>
        <w:jc w:val="center"/>
        <w:rPr>
          <w:rFonts w:eastAsia="黑体"/>
          <w:color w:val="auto"/>
          <w:sz w:val="30"/>
          <w:highlight w:val="none"/>
        </w:rPr>
      </w:pPr>
    </w:p>
    <w:p w14:paraId="5A50B7D2">
      <w:pPr>
        <w:ind w:firstLine="600"/>
        <w:jc w:val="center"/>
        <w:rPr>
          <w:rFonts w:eastAsia="黑体"/>
          <w:color w:val="auto"/>
          <w:sz w:val="30"/>
          <w:highlight w:val="none"/>
        </w:rPr>
      </w:pPr>
    </w:p>
    <w:p w14:paraId="022FD8D3">
      <w:pPr>
        <w:pStyle w:val="2"/>
      </w:pPr>
    </w:p>
    <w:p w14:paraId="637A8DC8">
      <w:pPr>
        <w:ind w:firstLine="600"/>
        <w:jc w:val="center"/>
        <w:rPr>
          <w:rFonts w:eastAsia="黑体"/>
          <w:color w:val="auto"/>
          <w:sz w:val="30"/>
          <w:highlight w:val="none"/>
        </w:rPr>
      </w:pPr>
    </w:p>
    <w:p w14:paraId="7F90474D">
      <w:pPr>
        <w:ind w:firstLine="600"/>
        <w:jc w:val="center"/>
        <w:rPr>
          <w:rFonts w:eastAsia="黑体"/>
          <w:color w:val="auto"/>
          <w:sz w:val="30"/>
          <w:highlight w:val="none"/>
        </w:rPr>
      </w:pPr>
    </w:p>
    <w:p w14:paraId="204D8FC1">
      <w:pPr>
        <w:ind w:firstLine="600"/>
        <w:rPr>
          <w:rFonts w:eastAsia="黑体"/>
          <w:color w:val="auto"/>
          <w:sz w:val="30"/>
          <w:highlight w:val="none"/>
        </w:rPr>
      </w:pPr>
    </w:p>
    <w:p w14:paraId="214455DF">
      <w:pPr>
        <w:keepNext w:val="0"/>
        <w:keepLines w:val="0"/>
        <w:pageBreakBefore w:val="0"/>
        <w:widowControl w:val="0"/>
        <w:kinsoku/>
        <w:wordWrap/>
        <w:overflowPunct/>
        <w:topLinePunct w:val="0"/>
        <w:autoSpaceDE/>
        <w:autoSpaceDN/>
        <w:bidi w:val="0"/>
        <w:adjustRightInd/>
        <w:snapToGrid/>
        <w:spacing w:line="360" w:lineRule="auto"/>
        <w:ind w:firstLine="1081" w:firstLineChars="300"/>
        <w:textAlignment w:val="auto"/>
        <w:rPr>
          <w:rFonts w:ascii="华文仿宋" w:hAnsi="华文仿宋" w:eastAsia="华文仿宋"/>
          <w:b/>
          <w:color w:val="auto"/>
          <w:sz w:val="36"/>
          <w:szCs w:val="36"/>
          <w:highlight w:val="none"/>
          <w:u w:val="single"/>
        </w:rPr>
      </w:pPr>
      <w:r>
        <w:rPr>
          <w:rFonts w:hint="eastAsia" w:ascii="华文仿宋" w:hAnsi="华文仿宋" w:eastAsia="华文仿宋"/>
          <w:b/>
          <w:color w:val="auto"/>
          <w:sz w:val="36"/>
          <w:szCs w:val="36"/>
          <w:highlight w:val="none"/>
        </w:rPr>
        <w:t>主管部门</w:t>
      </w:r>
      <w:r>
        <w:rPr>
          <w:rFonts w:hint="eastAsia" w:ascii="华文仿宋" w:hAnsi="华文仿宋" w:eastAsia="华文仿宋"/>
          <w:b/>
          <w:color w:val="auto"/>
          <w:sz w:val="36"/>
          <w:szCs w:val="36"/>
          <w:highlight w:val="none"/>
          <w:u w:val="single"/>
        </w:rPr>
        <w:t xml:space="preserve"> </w:t>
      </w:r>
      <w:r>
        <w:rPr>
          <w:rFonts w:hint="eastAsia" w:ascii="华文仿宋" w:hAnsi="华文仿宋" w:eastAsia="华文仿宋"/>
          <w:b/>
          <w:color w:val="auto"/>
          <w:sz w:val="36"/>
          <w:szCs w:val="36"/>
          <w:highlight w:val="none"/>
          <w:u w:val="single"/>
          <w:lang w:val="en-US" w:eastAsia="zh-CN"/>
        </w:rPr>
        <w:t>财政部、国家矿山安全监察局、应急管理部</w:t>
      </w:r>
      <w:r>
        <w:rPr>
          <w:rFonts w:hint="default" w:ascii="华文仿宋" w:hAnsi="华文仿宋" w:eastAsia="华文仿宋"/>
          <w:b/>
          <w:color w:val="auto"/>
          <w:sz w:val="36"/>
          <w:szCs w:val="36"/>
          <w:highlight w:val="none"/>
          <w:u w:val="single"/>
          <w:lang w:val="en-US"/>
        </w:rPr>
        <w:t xml:space="preserve"> </w:t>
      </w:r>
      <w:r>
        <w:rPr>
          <w:rFonts w:hint="eastAsia" w:ascii="华文仿宋" w:hAnsi="华文仿宋" w:eastAsia="华文仿宋"/>
          <w:b/>
          <w:color w:val="auto"/>
          <w:sz w:val="36"/>
          <w:szCs w:val="36"/>
          <w:highlight w:val="none"/>
          <w:u w:val="single"/>
          <w:lang w:val="en-US" w:eastAsia="zh-CN"/>
        </w:rPr>
        <w:t xml:space="preserve">     </w:t>
      </w:r>
      <w:r>
        <w:rPr>
          <w:rFonts w:hint="eastAsia" w:ascii="华文仿宋" w:hAnsi="华文仿宋" w:eastAsia="华文仿宋"/>
          <w:b/>
          <w:color w:val="auto"/>
          <w:sz w:val="36"/>
          <w:szCs w:val="36"/>
          <w:highlight w:val="none"/>
          <w:u w:val="single"/>
        </w:rPr>
        <w:t xml:space="preserve"> </w:t>
      </w:r>
    </w:p>
    <w:p w14:paraId="1A334E68">
      <w:pPr>
        <w:keepNext w:val="0"/>
        <w:keepLines w:val="0"/>
        <w:pageBreakBefore w:val="0"/>
        <w:widowControl w:val="0"/>
        <w:kinsoku/>
        <w:wordWrap/>
        <w:overflowPunct/>
        <w:topLinePunct w:val="0"/>
        <w:autoSpaceDE/>
        <w:autoSpaceDN/>
        <w:bidi w:val="0"/>
        <w:adjustRightInd/>
        <w:snapToGrid/>
        <w:spacing w:line="360" w:lineRule="auto"/>
        <w:ind w:firstLine="1081" w:firstLineChars="300"/>
        <w:textAlignment w:val="auto"/>
        <w:rPr>
          <w:rFonts w:hint="default" w:ascii="华文仿宋" w:hAnsi="华文仿宋" w:eastAsia="华文仿宋"/>
          <w:b/>
          <w:color w:val="auto"/>
          <w:sz w:val="36"/>
          <w:szCs w:val="36"/>
          <w:highlight w:val="none"/>
          <w:u w:val="single"/>
          <w:lang w:val="en-US" w:eastAsia="zh-CN"/>
        </w:rPr>
      </w:pPr>
      <w:r>
        <w:rPr>
          <w:rFonts w:hint="eastAsia" w:ascii="华文仿宋" w:hAnsi="华文仿宋" w:eastAsia="华文仿宋"/>
          <w:b/>
          <w:color w:val="auto"/>
          <w:sz w:val="36"/>
          <w:szCs w:val="36"/>
          <w:highlight w:val="none"/>
        </w:rPr>
        <w:t>项目单位</w:t>
      </w:r>
      <w:r>
        <w:rPr>
          <w:rFonts w:hint="eastAsia" w:ascii="华文仿宋" w:hAnsi="华文仿宋" w:eastAsia="华文仿宋"/>
          <w:b/>
          <w:color w:val="auto"/>
          <w:sz w:val="36"/>
          <w:szCs w:val="36"/>
          <w:highlight w:val="none"/>
          <w:u w:val="single"/>
        </w:rPr>
        <w:t xml:space="preserve"> </w:t>
      </w:r>
      <w:r>
        <w:rPr>
          <w:rFonts w:hint="default" w:ascii="华文仿宋" w:hAnsi="华文仿宋" w:eastAsia="华文仿宋"/>
          <w:b/>
          <w:color w:val="auto"/>
          <w:sz w:val="36"/>
          <w:szCs w:val="36"/>
          <w:highlight w:val="none"/>
          <w:u w:val="single"/>
          <w:lang w:val="en-US"/>
        </w:rPr>
        <w:t xml:space="preserve"> </w:t>
      </w:r>
      <w:r>
        <w:rPr>
          <w:rFonts w:hint="eastAsia" w:ascii="华文仿宋" w:hAnsi="华文仿宋" w:eastAsia="华文仿宋"/>
          <w:b/>
          <w:color w:val="auto"/>
          <w:sz w:val="36"/>
          <w:szCs w:val="36"/>
          <w:highlight w:val="none"/>
          <w:u w:val="single"/>
          <w:lang w:val="en-US" w:eastAsia="zh-CN"/>
        </w:rPr>
        <w:t xml:space="preserve">    </w:t>
      </w:r>
      <w:r>
        <w:rPr>
          <w:rFonts w:hint="eastAsia" w:ascii="华文仿宋" w:hAnsi="华文仿宋" w:eastAsia="华文仿宋"/>
          <w:b/>
          <w:color w:val="auto"/>
          <w:sz w:val="36"/>
          <w:szCs w:val="36"/>
          <w:highlight w:val="none"/>
          <w:u w:val="single"/>
          <w:lang w:eastAsia="zh-CN"/>
        </w:rPr>
        <w:t>福建省应急管理厅</w:t>
      </w:r>
      <w:r>
        <w:rPr>
          <w:rFonts w:hint="eastAsia" w:ascii="华文仿宋" w:hAnsi="华文仿宋" w:eastAsia="华文仿宋"/>
          <w:b/>
          <w:color w:val="auto"/>
          <w:sz w:val="36"/>
          <w:szCs w:val="36"/>
          <w:highlight w:val="none"/>
          <w:u w:val="single"/>
        </w:rPr>
        <w:t xml:space="preserve"> </w:t>
      </w:r>
      <w:r>
        <w:rPr>
          <w:rFonts w:hint="default" w:ascii="华文仿宋" w:hAnsi="华文仿宋" w:eastAsia="华文仿宋"/>
          <w:b/>
          <w:color w:val="auto"/>
          <w:sz w:val="36"/>
          <w:szCs w:val="36"/>
          <w:highlight w:val="none"/>
          <w:u w:val="single"/>
          <w:lang w:val="en-US"/>
        </w:rPr>
        <w:t xml:space="preserve">  </w:t>
      </w:r>
      <w:r>
        <w:rPr>
          <w:rFonts w:hint="eastAsia" w:ascii="华文仿宋" w:hAnsi="华文仿宋" w:eastAsia="华文仿宋"/>
          <w:b/>
          <w:color w:val="auto"/>
          <w:sz w:val="36"/>
          <w:szCs w:val="36"/>
          <w:highlight w:val="none"/>
          <w:u w:val="single"/>
          <w:lang w:val="en-US" w:eastAsia="zh-CN"/>
        </w:rPr>
        <w:t xml:space="preserve">         </w:t>
      </w:r>
    </w:p>
    <w:p w14:paraId="31C178A8">
      <w:pPr>
        <w:keepNext w:val="0"/>
        <w:keepLines w:val="0"/>
        <w:pageBreakBefore w:val="0"/>
        <w:widowControl w:val="0"/>
        <w:kinsoku/>
        <w:wordWrap/>
        <w:overflowPunct/>
        <w:topLinePunct w:val="0"/>
        <w:autoSpaceDE/>
        <w:autoSpaceDN/>
        <w:bidi w:val="0"/>
        <w:adjustRightInd/>
        <w:snapToGrid/>
        <w:spacing w:line="360" w:lineRule="auto"/>
        <w:ind w:left="2879" w:leftChars="513" w:hanging="1802" w:hangingChars="500"/>
        <w:textAlignment w:val="auto"/>
        <w:rPr>
          <w:rFonts w:hint="default" w:ascii="华文仿宋" w:hAnsi="华文仿宋" w:eastAsia="华文仿宋"/>
          <w:b/>
          <w:color w:val="auto"/>
          <w:sz w:val="36"/>
          <w:szCs w:val="36"/>
          <w:highlight w:val="none"/>
          <w:u w:val="single"/>
          <w:lang w:val="en-US"/>
        </w:rPr>
      </w:pPr>
      <w:r>
        <w:rPr>
          <w:rFonts w:hint="eastAsia" w:ascii="华文仿宋" w:hAnsi="华文仿宋" w:eastAsia="华文仿宋"/>
          <w:b/>
          <w:color w:val="auto"/>
          <w:sz w:val="36"/>
          <w:szCs w:val="36"/>
          <w:highlight w:val="none"/>
        </w:rPr>
        <w:t>项目名称</w:t>
      </w:r>
      <w:r>
        <w:rPr>
          <w:rFonts w:hint="eastAsia" w:ascii="华文仿宋" w:hAnsi="华文仿宋" w:eastAsia="华文仿宋"/>
          <w:b/>
          <w:color w:val="auto"/>
          <w:sz w:val="36"/>
          <w:szCs w:val="36"/>
          <w:highlight w:val="none"/>
          <w:u w:val="single"/>
        </w:rPr>
        <w:t xml:space="preserve"> </w:t>
      </w:r>
      <w:r>
        <w:rPr>
          <w:rFonts w:hint="eastAsia" w:ascii="华文仿宋" w:hAnsi="华文仿宋" w:eastAsia="华文仿宋" w:cs="Times New Roman"/>
          <w:b/>
          <w:color w:val="auto"/>
          <w:sz w:val="36"/>
          <w:szCs w:val="36"/>
          <w:highlight w:val="none"/>
          <w:u w:val="single"/>
          <w:lang w:val="en-US" w:eastAsia="zh-CN"/>
        </w:rPr>
        <w:t>福建省中央安全生产预防和应急救援能力建设补助资金转移支付（2024年）</w:t>
      </w:r>
      <w:r>
        <w:rPr>
          <w:rFonts w:hint="default" w:ascii="华文仿宋" w:hAnsi="华文仿宋" w:eastAsia="华文仿宋" w:cs="Times New Roman"/>
          <w:b/>
          <w:color w:val="auto"/>
          <w:sz w:val="36"/>
          <w:szCs w:val="36"/>
          <w:highlight w:val="none"/>
          <w:u w:val="single"/>
          <w:lang w:val="en-US" w:eastAsia="zh-CN"/>
        </w:rPr>
        <w:t xml:space="preserve"> </w:t>
      </w:r>
      <w:r>
        <w:rPr>
          <w:rFonts w:hint="eastAsia" w:ascii="华文仿宋" w:hAnsi="华文仿宋" w:eastAsia="华文仿宋" w:cs="Times New Roman"/>
          <w:b/>
          <w:color w:val="auto"/>
          <w:sz w:val="36"/>
          <w:szCs w:val="36"/>
          <w:highlight w:val="none"/>
          <w:u w:val="single"/>
          <w:lang w:val="en-US" w:eastAsia="zh-CN"/>
        </w:rPr>
        <w:t xml:space="preserve">        </w:t>
      </w:r>
      <w:r>
        <w:rPr>
          <w:rFonts w:hint="eastAsia" w:ascii="华文仿宋" w:hAnsi="华文仿宋" w:eastAsia="华文仿宋"/>
          <w:b/>
          <w:color w:val="auto"/>
          <w:sz w:val="36"/>
          <w:szCs w:val="36"/>
          <w:highlight w:val="none"/>
          <w:u w:val="single"/>
          <w:lang w:val="en-US" w:eastAsia="zh-CN"/>
        </w:rPr>
        <w:t xml:space="preserve">     </w:t>
      </w:r>
      <w:r>
        <w:rPr>
          <w:rFonts w:hint="default" w:ascii="华文仿宋" w:hAnsi="华文仿宋" w:eastAsia="华文仿宋"/>
          <w:b/>
          <w:color w:val="auto"/>
          <w:sz w:val="36"/>
          <w:szCs w:val="36"/>
          <w:highlight w:val="none"/>
          <w:u w:val="single"/>
          <w:lang w:val="en-US"/>
        </w:rPr>
        <w:t xml:space="preserve"> </w:t>
      </w:r>
    </w:p>
    <w:p w14:paraId="167E22DA">
      <w:pPr>
        <w:pStyle w:val="2"/>
        <w:rPr>
          <w:rFonts w:hint="default" w:ascii="华文仿宋" w:hAnsi="华文仿宋" w:eastAsia="华文仿宋"/>
          <w:b/>
          <w:color w:val="auto"/>
          <w:sz w:val="36"/>
          <w:szCs w:val="36"/>
          <w:highlight w:val="none"/>
          <w:u w:val="single"/>
          <w:lang w:val="en-US"/>
        </w:rPr>
      </w:pPr>
    </w:p>
    <w:p w14:paraId="43907B55">
      <w:pPr>
        <w:rPr>
          <w:rFonts w:hint="default" w:ascii="华文仿宋" w:hAnsi="华文仿宋" w:eastAsia="华文仿宋"/>
          <w:b/>
          <w:color w:val="auto"/>
          <w:sz w:val="36"/>
          <w:szCs w:val="36"/>
          <w:highlight w:val="none"/>
          <w:u w:val="single"/>
          <w:lang w:val="en-US"/>
        </w:rPr>
      </w:pPr>
    </w:p>
    <w:p w14:paraId="2EF81598">
      <w:pPr>
        <w:pStyle w:val="2"/>
        <w:rPr>
          <w:rFonts w:hint="default" w:ascii="华文仿宋" w:hAnsi="华文仿宋" w:eastAsia="华文仿宋"/>
          <w:b/>
          <w:color w:val="auto"/>
          <w:sz w:val="36"/>
          <w:szCs w:val="36"/>
          <w:highlight w:val="none"/>
          <w:u w:val="single"/>
          <w:lang w:val="en-US"/>
        </w:rPr>
      </w:pPr>
    </w:p>
    <w:p w14:paraId="08B820E3">
      <w:pPr>
        <w:rPr>
          <w:rFonts w:hint="default"/>
          <w:lang w:val="en-US"/>
        </w:rPr>
      </w:pPr>
      <w:bookmarkStart w:id="1" w:name="_GoBack"/>
      <w:bookmarkEnd w:id="1"/>
    </w:p>
    <w:p w14:paraId="4414B803">
      <w:pPr>
        <w:pStyle w:val="2"/>
        <w:rPr>
          <w:rFonts w:hint="default" w:ascii="华文仿宋" w:hAnsi="华文仿宋" w:eastAsia="华文仿宋"/>
          <w:b/>
          <w:color w:val="auto"/>
          <w:sz w:val="36"/>
          <w:szCs w:val="36"/>
          <w:highlight w:val="none"/>
          <w:u w:val="single"/>
          <w:lang w:val="en-US"/>
        </w:rPr>
      </w:pPr>
    </w:p>
    <w:p w14:paraId="7458CD1A">
      <w:pPr>
        <w:rPr>
          <w:rFonts w:hint="default" w:ascii="华文仿宋" w:hAnsi="华文仿宋" w:eastAsia="华文仿宋"/>
          <w:b/>
          <w:color w:val="auto"/>
          <w:sz w:val="36"/>
          <w:szCs w:val="36"/>
          <w:highlight w:val="none"/>
          <w:u w:val="single"/>
          <w:lang w:val="en-US"/>
        </w:rPr>
        <w:sectPr>
          <w:footerReference r:id="rId3" w:type="default"/>
          <w:footerReference r:id="rId4" w:type="even"/>
          <w:pgSz w:w="11906" w:h="16838"/>
          <w:pgMar w:top="1247" w:right="1247" w:bottom="1247" w:left="1247"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590C9E9">
      <w:pPr>
        <w:pStyle w:val="2"/>
        <w:rPr>
          <w:rFonts w:hint="default"/>
          <w:lang w:val="en-US"/>
        </w:rPr>
      </w:pPr>
    </w:p>
    <w:p w14:paraId="71774FA6">
      <w:pPr>
        <w:pStyle w:val="2"/>
        <w:rPr>
          <w:rFonts w:hint="default"/>
          <w:lang w:val="en-US"/>
        </w:rPr>
      </w:pPr>
    </w:p>
    <w:p w14:paraId="663E85B9">
      <w:pPr>
        <w:pStyle w:val="2"/>
        <w:rPr>
          <w:rFonts w:hint="default"/>
          <w:lang w:val="en-US"/>
        </w:rPr>
      </w:pPr>
    </w:p>
    <w:p w14:paraId="1E90AC0F">
      <w:pPr>
        <w:pStyle w:val="2"/>
        <w:rPr>
          <w:rFonts w:hint="default" w:ascii="华文仿宋" w:hAnsi="华文仿宋" w:eastAsia="华文仿宋"/>
          <w:b/>
          <w:color w:val="auto"/>
          <w:sz w:val="36"/>
          <w:szCs w:val="36"/>
          <w:highlight w:val="none"/>
          <w:u w:val="single"/>
          <w:lang w:val="en-US"/>
        </w:rPr>
      </w:pPr>
    </w:p>
    <w:p w14:paraId="3C1103AB">
      <w:pPr>
        <w:pStyle w:val="28"/>
        <w:jc w:val="center"/>
        <w:rPr>
          <w:rFonts w:ascii="仿宋" w:hAnsi="仿宋" w:eastAsia="仿宋"/>
          <w:b/>
          <w:sz w:val="44"/>
          <w:szCs w:val="44"/>
        </w:rPr>
      </w:pPr>
      <w:r>
        <w:rPr>
          <w:rFonts w:hint="eastAsia" w:ascii="仿宋" w:hAnsi="仿宋" w:eastAsia="仿宋"/>
          <w:b/>
          <w:sz w:val="44"/>
          <w:szCs w:val="44"/>
        </w:rPr>
        <w:t>福建省中央安全生产预防和应急救援能力建设补助资金转移支付202</w:t>
      </w:r>
      <w:r>
        <w:rPr>
          <w:rFonts w:hint="eastAsia" w:ascii="仿宋" w:hAnsi="仿宋" w:eastAsia="仿宋"/>
          <w:b/>
          <w:sz w:val="44"/>
          <w:szCs w:val="44"/>
          <w:lang w:val="en-US" w:eastAsia="zh-CN"/>
        </w:rPr>
        <w:t>4</w:t>
      </w:r>
      <w:r>
        <w:rPr>
          <w:rFonts w:hint="eastAsia" w:ascii="仿宋" w:hAnsi="仿宋" w:eastAsia="仿宋"/>
          <w:b/>
          <w:sz w:val="44"/>
          <w:szCs w:val="44"/>
        </w:rPr>
        <w:t>年度绩效自评报告</w:t>
      </w:r>
    </w:p>
    <w:p w14:paraId="72AD60C4">
      <w:pPr>
        <w:pStyle w:val="28"/>
        <w:jc w:val="center"/>
        <w:rPr>
          <w:rFonts w:ascii="仿宋" w:hAnsi="仿宋" w:eastAsia="仿宋"/>
          <w:bCs/>
          <w:kern w:val="44"/>
          <w:sz w:val="44"/>
          <w:szCs w:val="44"/>
        </w:rPr>
      </w:pPr>
    </w:p>
    <w:p w14:paraId="1DADE78A">
      <w:pPr>
        <w:pStyle w:val="4"/>
        <w:spacing w:before="156" w:beforeLines="50" w:after="156" w:afterLines="50" w:line="416" w:lineRule="atLeast"/>
        <w:ind w:firstLine="640" w:firstLineChars="200"/>
        <w:jc w:val="left"/>
        <w:rPr>
          <w:rFonts w:ascii="黑体" w:hAnsi="黑体" w:eastAsia="黑体" w:cs="黑体"/>
          <w:b w:val="0"/>
          <w:bCs w:val="0"/>
          <w:szCs w:val="28"/>
        </w:rPr>
      </w:pPr>
      <w:r>
        <w:rPr>
          <w:rFonts w:hint="eastAsia" w:ascii="黑体" w:hAnsi="黑体" w:eastAsia="黑体" w:cs="黑体"/>
          <w:b w:val="0"/>
          <w:bCs w:val="0"/>
          <w:szCs w:val="28"/>
        </w:rPr>
        <w:t>一、绩效目标分解下达情况</w:t>
      </w:r>
    </w:p>
    <w:p w14:paraId="7EF52F63">
      <w:pPr>
        <w:ind w:firstLine="640" w:firstLineChars="200"/>
        <w:rPr>
          <w:rFonts w:ascii="仿宋" w:hAnsi="仿宋" w:eastAsia="仿宋"/>
          <w:bCs/>
          <w:kern w:val="44"/>
          <w:sz w:val="32"/>
          <w:szCs w:val="32"/>
        </w:rPr>
      </w:pPr>
      <w:r>
        <w:rPr>
          <w:rFonts w:hint="eastAsia" w:ascii="仿宋" w:hAnsi="仿宋" w:eastAsia="仿宋"/>
          <w:bCs/>
          <w:kern w:val="44"/>
          <w:sz w:val="32"/>
          <w:szCs w:val="32"/>
          <w:lang w:eastAsia="zh-CN"/>
        </w:rPr>
        <w:t>福建省中央安全生产预防和应急救援能力建设补助资金转移支付</w:t>
      </w:r>
      <w:r>
        <w:rPr>
          <w:rFonts w:hint="eastAsia" w:ascii="仿宋" w:hAnsi="仿宋" w:eastAsia="仿宋"/>
          <w:bCs/>
          <w:kern w:val="44"/>
          <w:sz w:val="32"/>
          <w:szCs w:val="32"/>
          <w:lang w:val="en-US" w:eastAsia="zh-CN"/>
        </w:rPr>
        <w:t>（2024年度）</w:t>
      </w:r>
      <w:r>
        <w:rPr>
          <w:rFonts w:hint="eastAsia" w:ascii="仿宋" w:hAnsi="仿宋" w:eastAsia="仿宋"/>
          <w:bCs/>
          <w:kern w:val="44"/>
          <w:sz w:val="32"/>
          <w:szCs w:val="32"/>
        </w:rPr>
        <w:t>（以下简称“本项目”）</w:t>
      </w:r>
      <w:r>
        <w:rPr>
          <w:rFonts w:hint="eastAsia" w:ascii="仿宋" w:hAnsi="仿宋" w:eastAsia="仿宋"/>
          <w:bCs/>
          <w:kern w:val="44"/>
          <w:sz w:val="32"/>
          <w:szCs w:val="32"/>
          <w:lang w:eastAsia="zh-CN"/>
        </w:rPr>
        <w:t>实施内容包含</w:t>
      </w:r>
      <w:r>
        <w:rPr>
          <w:rFonts w:hint="eastAsia" w:ascii="仿宋" w:hAnsi="仿宋" w:eastAsia="仿宋"/>
          <w:bCs/>
          <w:kern w:val="44"/>
          <w:sz w:val="32"/>
          <w:szCs w:val="32"/>
          <w:lang w:val="en-US" w:eastAsia="zh-CN"/>
        </w:rPr>
        <w:t>煤矿及重点非煤矿山重大灾害风险防控、尾矿库风险隐患治理、安全生产应急救援力量建设和危险化学品重大安全风险防控，项目资金由中央转移支付</w:t>
      </w:r>
      <w:r>
        <w:rPr>
          <w:rFonts w:hint="eastAsia" w:ascii="仿宋" w:hAnsi="仿宋" w:eastAsia="仿宋"/>
          <w:bCs/>
          <w:color w:val="auto"/>
          <w:kern w:val="44"/>
          <w:sz w:val="32"/>
          <w:szCs w:val="32"/>
          <w:lang w:val="en-US" w:eastAsia="zh-CN"/>
        </w:rPr>
        <w:t>和福建省地方财政资金构成</w:t>
      </w:r>
      <w:r>
        <w:rPr>
          <w:rFonts w:hint="eastAsia" w:ascii="仿宋" w:hAnsi="仿宋" w:eastAsia="仿宋"/>
          <w:bCs/>
          <w:kern w:val="44"/>
          <w:sz w:val="32"/>
          <w:szCs w:val="32"/>
        </w:rPr>
        <w:t>。</w:t>
      </w:r>
    </w:p>
    <w:p w14:paraId="0C38B9EC">
      <w:pPr>
        <w:pStyle w:val="41"/>
        <w:numPr>
          <w:ilvl w:val="0"/>
          <w:numId w:val="0"/>
        </w:numPr>
        <w:spacing w:line="580" w:lineRule="exact"/>
        <w:ind w:firstLine="321" w:firstLineChars="100"/>
        <w:rPr>
          <w:rFonts w:hint="default" w:ascii="楷体" w:hAnsi="楷体" w:eastAsia="楷体" w:cs="楷体"/>
          <w:b/>
          <w:color w:val="auto"/>
          <w:sz w:val="32"/>
          <w:szCs w:val="32"/>
          <w:lang w:val="en-US" w:eastAsia="zh-CN"/>
        </w:rPr>
      </w:pPr>
      <w:r>
        <w:rPr>
          <w:rFonts w:hint="eastAsia" w:ascii="楷体" w:hAnsi="楷体" w:eastAsia="楷体" w:cs="楷体"/>
          <w:b/>
          <w:color w:val="auto"/>
          <w:sz w:val="32"/>
          <w:szCs w:val="32"/>
          <w:lang w:val="en-US"/>
        </w:rPr>
        <w:t>（一）</w:t>
      </w:r>
      <w:r>
        <w:rPr>
          <w:rFonts w:hint="eastAsia" w:ascii="楷体" w:hAnsi="楷体" w:eastAsia="楷体" w:cs="楷体"/>
          <w:b/>
          <w:color w:val="auto"/>
          <w:sz w:val="32"/>
          <w:szCs w:val="32"/>
          <w:lang w:val="en-US" w:eastAsia="zh-CN"/>
        </w:rPr>
        <w:t>中央下达转移支付预算和绩效目标情况</w:t>
      </w:r>
    </w:p>
    <w:p w14:paraId="139FB469">
      <w:pPr>
        <w:pStyle w:val="4"/>
        <w:spacing w:before="0" w:after="0" w:line="240" w:lineRule="auto"/>
        <w:ind w:firstLine="643" w:firstLineChars="200"/>
        <w:rPr>
          <w:rFonts w:hint="default" w:ascii="仿宋" w:hAnsi="仿宋" w:eastAsia="仿宋" w:cs="仿宋"/>
          <w:b/>
          <w:bCs w:val="0"/>
          <w:lang w:val="en-US" w:eastAsia="zh-CN"/>
        </w:rPr>
      </w:pPr>
      <w:r>
        <w:rPr>
          <w:rFonts w:hint="eastAsia" w:ascii="仿宋" w:hAnsi="仿宋" w:eastAsia="仿宋" w:cs="仿宋"/>
          <w:b/>
          <w:bCs w:val="0"/>
          <w:lang w:val="en-US" w:eastAsia="zh-CN"/>
        </w:rPr>
        <w:t>1.中央下达转移支付预算</w:t>
      </w:r>
    </w:p>
    <w:p w14:paraId="5FFBC1E4">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中央转移支付预算安排资金11045万元，其中，煤矿及重点非煤矿山重大灾害风险防控支出补助预算5706万元、以及尾矿库风险隐患治理支出补助预算1455万元，这两部分预算属于国家矿山安全监察局下达的专项资金。本次自评所涉及中央转移支付预算3884万元，包括安全生产应急救援力量建设补助预算 3039 万元，危险化学品重大安全风险防控支出补助预算 845 万元。</w:t>
      </w:r>
    </w:p>
    <w:p w14:paraId="6C09129A">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2024年，财政部分三批次下达中央转移支付预算11045万元，具体资金下达</w:t>
      </w:r>
      <w:r>
        <w:rPr>
          <w:rFonts w:hint="eastAsia" w:ascii="仿宋" w:hAnsi="仿宋" w:eastAsia="仿宋"/>
          <w:bCs/>
          <w:kern w:val="44"/>
          <w:sz w:val="32"/>
          <w:szCs w:val="32"/>
          <w:lang w:eastAsia="zh-CN"/>
        </w:rPr>
        <w:t>文件名称、</w:t>
      </w:r>
      <w:r>
        <w:rPr>
          <w:rFonts w:hint="eastAsia" w:ascii="仿宋" w:hAnsi="仿宋" w:eastAsia="仿宋"/>
          <w:bCs/>
          <w:kern w:val="44"/>
          <w:sz w:val="32"/>
          <w:szCs w:val="32"/>
          <w:lang w:val="en-US" w:eastAsia="zh-CN"/>
        </w:rPr>
        <w:t>发文日期、</w:t>
      </w:r>
      <w:r>
        <w:rPr>
          <w:rFonts w:hint="eastAsia" w:ascii="仿宋" w:hAnsi="仿宋" w:eastAsia="仿宋"/>
          <w:bCs/>
          <w:kern w:val="44"/>
          <w:sz w:val="32"/>
          <w:szCs w:val="32"/>
          <w:lang w:eastAsia="zh-CN"/>
        </w:rPr>
        <w:t>金额以及</w:t>
      </w:r>
      <w:r>
        <w:rPr>
          <w:rFonts w:hint="eastAsia" w:ascii="仿宋" w:hAnsi="仿宋" w:eastAsia="仿宋"/>
          <w:bCs/>
          <w:kern w:val="44"/>
          <w:sz w:val="32"/>
          <w:szCs w:val="32"/>
          <w:lang w:val="en-US" w:eastAsia="zh-CN"/>
        </w:rPr>
        <w:t>资金投向等</w:t>
      </w:r>
      <w:r>
        <w:rPr>
          <w:rFonts w:hint="eastAsia" w:ascii="仿宋" w:hAnsi="仿宋" w:eastAsia="仿宋"/>
          <w:bCs/>
          <w:kern w:val="44"/>
          <w:sz w:val="32"/>
          <w:szCs w:val="32"/>
          <w:lang w:eastAsia="zh-CN"/>
        </w:rPr>
        <w:t>信息详见表</w:t>
      </w:r>
      <w:r>
        <w:rPr>
          <w:rFonts w:hint="eastAsia" w:ascii="仿宋" w:hAnsi="仿宋" w:eastAsia="仿宋"/>
          <w:bCs/>
          <w:kern w:val="44"/>
          <w:sz w:val="32"/>
          <w:szCs w:val="32"/>
          <w:lang w:val="en-US" w:eastAsia="zh-CN"/>
        </w:rPr>
        <w:t>1</w:t>
      </w:r>
      <w:r>
        <w:rPr>
          <w:rFonts w:hint="eastAsia" w:ascii="仿宋" w:hAnsi="仿宋" w:eastAsia="仿宋"/>
          <w:bCs/>
          <w:kern w:val="44"/>
          <w:sz w:val="32"/>
          <w:szCs w:val="32"/>
          <w:lang w:eastAsia="zh-CN"/>
        </w:rPr>
        <w:t>。</w:t>
      </w:r>
    </w:p>
    <w:p w14:paraId="0EA0B6EA">
      <w:pPr>
        <w:pStyle w:val="11"/>
        <w:spacing w:line="560" w:lineRule="exact"/>
        <w:ind w:left="0" w:leftChars="0" w:firstLine="0" w:firstLineChars="0"/>
        <w:jc w:val="center"/>
        <w:rPr>
          <w:rFonts w:hint="eastAsia" w:ascii="仿宋" w:hAnsi="仿宋" w:eastAsia="仿宋"/>
          <w:b/>
          <w:kern w:val="44"/>
          <w:sz w:val="28"/>
          <w:szCs w:val="28"/>
          <w:lang w:eastAsia="zh-CN"/>
        </w:rPr>
      </w:pPr>
      <w:r>
        <w:rPr>
          <w:rFonts w:hint="eastAsia" w:ascii="仿宋" w:hAnsi="仿宋" w:eastAsia="仿宋"/>
          <w:b/>
          <w:kern w:val="44"/>
          <w:sz w:val="28"/>
          <w:szCs w:val="28"/>
          <w:lang w:val="en-US" w:eastAsia="zh-CN"/>
        </w:rPr>
        <w:t xml:space="preserve"> </w:t>
      </w:r>
      <w:r>
        <w:rPr>
          <w:rFonts w:hint="eastAsia" w:ascii="仿宋" w:hAnsi="仿宋" w:eastAsia="仿宋"/>
          <w:b/>
          <w:kern w:val="44"/>
          <w:sz w:val="28"/>
          <w:szCs w:val="28"/>
        </w:rPr>
        <w:t>表</w:t>
      </w:r>
      <w:r>
        <w:rPr>
          <w:rFonts w:hint="eastAsia" w:ascii="仿宋" w:hAnsi="仿宋" w:eastAsia="仿宋"/>
          <w:b/>
          <w:kern w:val="44"/>
          <w:sz w:val="28"/>
          <w:szCs w:val="28"/>
          <w:lang w:val="en-US" w:eastAsia="zh-CN"/>
        </w:rPr>
        <w:t>1</w:t>
      </w:r>
      <w:r>
        <w:rPr>
          <w:rFonts w:hint="eastAsia" w:ascii="仿宋" w:hAnsi="仿宋" w:eastAsia="仿宋"/>
          <w:b/>
          <w:kern w:val="44"/>
          <w:sz w:val="28"/>
          <w:szCs w:val="28"/>
        </w:rPr>
        <w:t xml:space="preserve"> </w:t>
      </w:r>
      <w:r>
        <w:rPr>
          <w:rFonts w:hint="eastAsia" w:ascii="仿宋" w:hAnsi="仿宋" w:eastAsia="仿宋"/>
          <w:b/>
          <w:kern w:val="44"/>
          <w:sz w:val="28"/>
          <w:szCs w:val="28"/>
          <w:lang w:eastAsia="zh-CN"/>
        </w:rPr>
        <w:t>中央下达福建省转移支付明细</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858"/>
        <w:gridCol w:w="1662"/>
        <w:gridCol w:w="1238"/>
        <w:gridCol w:w="1237"/>
        <w:gridCol w:w="1629"/>
      </w:tblGrid>
      <w:tr w14:paraId="349722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58" w:type="dxa"/>
            <w:shd w:val="clear" w:color="auto" w:fill="F1F1F1" w:themeFill="background1" w:themeFillShade="F2"/>
            <w:vAlign w:val="center"/>
          </w:tcPr>
          <w:p w14:paraId="2A83DD2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eastAsia" w:ascii="仿宋" w:hAnsi="仿宋" w:eastAsia="仿宋"/>
                <w:b/>
                <w:kern w:val="44"/>
                <w:sz w:val="21"/>
                <w:szCs w:val="21"/>
                <w:lang w:eastAsia="zh-CN"/>
              </w:rPr>
            </w:pPr>
            <w:r>
              <w:rPr>
                <w:rFonts w:hint="eastAsia" w:ascii="仿宋" w:hAnsi="仿宋" w:eastAsia="仿宋"/>
                <w:b/>
                <w:kern w:val="44"/>
                <w:sz w:val="21"/>
                <w:szCs w:val="21"/>
                <w:lang w:eastAsia="zh-CN"/>
              </w:rPr>
              <w:t>资金下达文件</w:t>
            </w:r>
          </w:p>
        </w:tc>
        <w:tc>
          <w:tcPr>
            <w:tcW w:w="1662" w:type="dxa"/>
            <w:shd w:val="clear" w:color="auto" w:fill="F1F1F1" w:themeFill="background1" w:themeFillShade="F2"/>
            <w:vAlign w:val="center"/>
          </w:tcPr>
          <w:p w14:paraId="2AB26B8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eastAsia" w:ascii="仿宋" w:hAnsi="仿宋" w:eastAsia="仿宋" w:cs="Times New Roman"/>
                <w:b/>
                <w:bCs/>
                <w:kern w:val="44"/>
                <w:sz w:val="21"/>
                <w:szCs w:val="21"/>
                <w:lang w:val="en-US" w:eastAsia="zh-CN" w:bidi="ar-SA"/>
              </w:rPr>
            </w:pPr>
            <w:r>
              <w:rPr>
                <w:rFonts w:hint="eastAsia" w:ascii="仿宋" w:hAnsi="仿宋" w:eastAsia="仿宋" w:cs="Times New Roman"/>
                <w:b/>
                <w:bCs/>
                <w:kern w:val="44"/>
                <w:sz w:val="21"/>
                <w:szCs w:val="21"/>
                <w:lang w:val="en-US" w:eastAsia="zh-CN" w:bidi="ar-SA"/>
              </w:rPr>
              <w:t>文件号</w:t>
            </w:r>
          </w:p>
        </w:tc>
        <w:tc>
          <w:tcPr>
            <w:tcW w:w="1238" w:type="dxa"/>
            <w:shd w:val="clear" w:color="auto" w:fill="F1F1F1" w:themeFill="background1" w:themeFillShade="F2"/>
            <w:vAlign w:val="center"/>
          </w:tcPr>
          <w:p w14:paraId="148CA63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eastAsia" w:ascii="仿宋" w:hAnsi="仿宋" w:eastAsia="仿宋" w:cs="Times New Roman"/>
                <w:b/>
                <w:bCs/>
                <w:kern w:val="44"/>
                <w:sz w:val="21"/>
                <w:szCs w:val="21"/>
                <w:lang w:val="en-US" w:eastAsia="zh-CN" w:bidi="ar-SA"/>
              </w:rPr>
            </w:pPr>
            <w:r>
              <w:rPr>
                <w:rFonts w:hint="eastAsia" w:ascii="仿宋" w:hAnsi="仿宋" w:eastAsia="仿宋" w:cs="Times New Roman"/>
                <w:b/>
                <w:bCs/>
                <w:kern w:val="44"/>
                <w:sz w:val="21"/>
                <w:szCs w:val="21"/>
                <w:lang w:val="en-US" w:eastAsia="zh-CN" w:bidi="ar-SA"/>
              </w:rPr>
              <w:t>发文日期</w:t>
            </w:r>
          </w:p>
        </w:tc>
        <w:tc>
          <w:tcPr>
            <w:tcW w:w="1237" w:type="dxa"/>
            <w:shd w:val="clear" w:color="auto" w:fill="F1F1F1" w:themeFill="background1" w:themeFillShade="F2"/>
            <w:vAlign w:val="center"/>
          </w:tcPr>
          <w:p w14:paraId="7502B1D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eastAsia" w:ascii="仿宋" w:hAnsi="仿宋" w:eastAsia="仿宋"/>
                <w:b/>
                <w:kern w:val="44"/>
                <w:sz w:val="21"/>
                <w:szCs w:val="21"/>
                <w:lang w:eastAsia="zh-CN"/>
              </w:rPr>
            </w:pPr>
            <w:r>
              <w:rPr>
                <w:rFonts w:hint="eastAsia" w:ascii="仿宋" w:hAnsi="仿宋" w:eastAsia="仿宋"/>
                <w:b/>
                <w:kern w:val="44"/>
                <w:sz w:val="21"/>
                <w:szCs w:val="21"/>
                <w:lang w:eastAsia="zh-CN"/>
              </w:rPr>
              <w:t>下达金额</w:t>
            </w:r>
          </w:p>
          <w:p w14:paraId="2DF6AB7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eastAsia" w:ascii="仿宋" w:hAnsi="仿宋" w:eastAsia="仿宋"/>
                <w:b/>
                <w:kern w:val="44"/>
                <w:sz w:val="21"/>
                <w:szCs w:val="21"/>
                <w:lang w:eastAsia="zh-CN"/>
              </w:rPr>
            </w:pPr>
            <w:r>
              <w:rPr>
                <w:rFonts w:hint="eastAsia" w:ascii="仿宋" w:hAnsi="仿宋" w:eastAsia="仿宋"/>
                <w:b/>
                <w:kern w:val="44"/>
                <w:sz w:val="21"/>
                <w:szCs w:val="21"/>
                <w:lang w:eastAsia="zh-CN"/>
              </w:rPr>
              <w:t>（万元）</w:t>
            </w:r>
          </w:p>
        </w:tc>
        <w:tc>
          <w:tcPr>
            <w:tcW w:w="1629" w:type="dxa"/>
            <w:shd w:val="clear" w:color="auto" w:fill="F1F1F1" w:themeFill="background1" w:themeFillShade="F2"/>
            <w:vAlign w:val="center"/>
          </w:tcPr>
          <w:p w14:paraId="27605AA0">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eastAsia" w:ascii="仿宋" w:hAnsi="仿宋" w:eastAsia="仿宋"/>
                <w:b/>
                <w:kern w:val="44"/>
                <w:sz w:val="21"/>
                <w:szCs w:val="21"/>
                <w:lang w:eastAsia="zh-CN"/>
              </w:rPr>
            </w:pPr>
            <w:r>
              <w:rPr>
                <w:rFonts w:hint="eastAsia" w:ascii="仿宋" w:hAnsi="仿宋" w:eastAsia="仿宋"/>
                <w:b/>
                <w:kern w:val="44"/>
                <w:sz w:val="21"/>
                <w:szCs w:val="21"/>
                <w:lang w:eastAsia="zh-CN"/>
              </w:rPr>
              <w:t>资金使用方向</w:t>
            </w:r>
          </w:p>
        </w:tc>
      </w:tr>
      <w:tr w14:paraId="40BDA6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2" w:hRule="atLeast"/>
        </w:trPr>
        <w:tc>
          <w:tcPr>
            <w:tcW w:w="3858" w:type="dxa"/>
            <w:vAlign w:val="center"/>
          </w:tcPr>
          <w:p w14:paraId="54214CF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default" w:ascii="仿宋" w:hAnsi="仿宋" w:eastAsia="仿宋"/>
                <w:b/>
                <w:kern w:val="44"/>
                <w:sz w:val="21"/>
                <w:szCs w:val="21"/>
                <w:lang w:val="en-US" w:eastAsia="zh-CN"/>
              </w:rPr>
            </w:pPr>
            <w:r>
              <w:rPr>
                <w:rFonts w:hint="eastAsia" w:ascii="仿宋" w:hAnsi="仿宋" w:eastAsia="仿宋"/>
                <w:b/>
                <w:kern w:val="44"/>
                <w:sz w:val="21"/>
                <w:szCs w:val="21"/>
                <w:lang w:val="en-US" w:eastAsia="zh-CN"/>
              </w:rPr>
              <w:t>合计</w:t>
            </w:r>
          </w:p>
        </w:tc>
        <w:tc>
          <w:tcPr>
            <w:tcW w:w="1662" w:type="dxa"/>
            <w:vAlign w:val="center"/>
          </w:tcPr>
          <w:p w14:paraId="55ABD0D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default" w:ascii="仿宋" w:hAnsi="仿宋" w:eastAsia="仿宋" w:cs="Times New Roman"/>
                <w:b/>
                <w:bCs/>
                <w:kern w:val="44"/>
                <w:sz w:val="21"/>
                <w:szCs w:val="21"/>
                <w:lang w:val="en-US" w:eastAsia="zh-CN" w:bidi="ar-SA"/>
              </w:rPr>
            </w:pPr>
            <w:r>
              <w:rPr>
                <w:rFonts w:hint="eastAsia" w:ascii="仿宋" w:hAnsi="仿宋" w:eastAsia="仿宋" w:cs="Times New Roman"/>
                <w:b/>
                <w:bCs/>
                <w:kern w:val="44"/>
                <w:sz w:val="21"/>
                <w:szCs w:val="21"/>
                <w:lang w:val="en-US" w:eastAsia="zh-CN" w:bidi="ar-SA"/>
              </w:rPr>
              <w:t>-</w:t>
            </w:r>
          </w:p>
        </w:tc>
        <w:tc>
          <w:tcPr>
            <w:tcW w:w="1238" w:type="dxa"/>
            <w:vAlign w:val="center"/>
          </w:tcPr>
          <w:p w14:paraId="24AE446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default" w:ascii="仿宋" w:hAnsi="仿宋" w:eastAsia="仿宋" w:cs="Times New Roman"/>
                <w:b/>
                <w:bCs/>
                <w:kern w:val="44"/>
                <w:sz w:val="21"/>
                <w:szCs w:val="21"/>
                <w:lang w:val="en-US" w:eastAsia="zh-CN" w:bidi="ar-SA"/>
              </w:rPr>
            </w:pPr>
            <w:r>
              <w:rPr>
                <w:rFonts w:hint="eastAsia" w:ascii="仿宋" w:hAnsi="仿宋" w:eastAsia="仿宋" w:cs="Times New Roman"/>
                <w:b/>
                <w:bCs/>
                <w:kern w:val="44"/>
                <w:sz w:val="21"/>
                <w:szCs w:val="21"/>
                <w:lang w:val="en-US" w:eastAsia="zh-CN" w:bidi="ar-SA"/>
              </w:rPr>
              <w:t>-</w:t>
            </w:r>
          </w:p>
        </w:tc>
        <w:tc>
          <w:tcPr>
            <w:tcW w:w="1237" w:type="dxa"/>
            <w:vAlign w:val="center"/>
          </w:tcPr>
          <w:p w14:paraId="008B269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default" w:ascii="仿宋" w:hAnsi="仿宋" w:eastAsia="仿宋"/>
                <w:b/>
                <w:kern w:val="44"/>
                <w:sz w:val="21"/>
                <w:szCs w:val="21"/>
                <w:lang w:val="en-US" w:eastAsia="zh-CN"/>
              </w:rPr>
            </w:pPr>
            <w:r>
              <w:rPr>
                <w:rFonts w:hint="eastAsia" w:ascii="仿宋" w:hAnsi="仿宋" w:eastAsia="仿宋"/>
                <w:b/>
                <w:kern w:val="44"/>
                <w:sz w:val="21"/>
                <w:szCs w:val="21"/>
                <w:lang w:val="en-US" w:eastAsia="zh-CN"/>
              </w:rPr>
              <w:t>11045</w:t>
            </w:r>
          </w:p>
        </w:tc>
        <w:tc>
          <w:tcPr>
            <w:tcW w:w="1629" w:type="dxa"/>
            <w:vAlign w:val="center"/>
          </w:tcPr>
          <w:p w14:paraId="41DC101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default" w:ascii="仿宋" w:hAnsi="仿宋" w:eastAsia="仿宋"/>
                <w:b/>
                <w:kern w:val="44"/>
                <w:sz w:val="21"/>
                <w:szCs w:val="21"/>
                <w:lang w:val="en-US" w:eastAsia="zh-CN"/>
              </w:rPr>
            </w:pPr>
            <w:r>
              <w:rPr>
                <w:rFonts w:hint="eastAsia" w:ascii="仿宋" w:hAnsi="仿宋" w:eastAsia="仿宋"/>
                <w:b/>
                <w:kern w:val="44"/>
                <w:sz w:val="21"/>
                <w:szCs w:val="21"/>
                <w:lang w:val="en-US" w:eastAsia="zh-CN"/>
              </w:rPr>
              <w:t>-</w:t>
            </w:r>
          </w:p>
        </w:tc>
      </w:tr>
      <w:tr w14:paraId="3EA037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58" w:type="dxa"/>
            <w:vAlign w:val="center"/>
          </w:tcPr>
          <w:p w14:paraId="517F741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《财政部关于下达2024年安全生产预防和应急救援能力建设补助资金预算（煤矿及重点非煤矿山重大灾害风险防控支出）的通知》</w:t>
            </w:r>
          </w:p>
        </w:tc>
        <w:tc>
          <w:tcPr>
            <w:tcW w:w="1662" w:type="dxa"/>
            <w:vAlign w:val="center"/>
          </w:tcPr>
          <w:p w14:paraId="6C3D953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财资环〔2024〕55号</w:t>
            </w:r>
          </w:p>
        </w:tc>
        <w:tc>
          <w:tcPr>
            <w:tcW w:w="1238" w:type="dxa"/>
            <w:vAlign w:val="center"/>
          </w:tcPr>
          <w:p w14:paraId="3CD0C39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default"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2024年6月5日</w:t>
            </w:r>
          </w:p>
        </w:tc>
        <w:tc>
          <w:tcPr>
            <w:tcW w:w="1237" w:type="dxa"/>
            <w:vAlign w:val="center"/>
          </w:tcPr>
          <w:p w14:paraId="6916685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default"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5706</w:t>
            </w:r>
          </w:p>
        </w:tc>
        <w:tc>
          <w:tcPr>
            <w:tcW w:w="1629" w:type="dxa"/>
            <w:vAlign w:val="center"/>
          </w:tcPr>
          <w:p w14:paraId="46B5303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煤矿及重点非煤矿山重大灾害风险防控</w:t>
            </w:r>
          </w:p>
        </w:tc>
      </w:tr>
      <w:tr w14:paraId="24ED8B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58" w:type="dxa"/>
            <w:vAlign w:val="center"/>
          </w:tcPr>
          <w:p w14:paraId="69B83B9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《财政部关于下达2024年安全生产预防和应急救援能力建设补助资金预算（尾矿库风险隐患治理支出）的通知》</w:t>
            </w:r>
          </w:p>
        </w:tc>
        <w:tc>
          <w:tcPr>
            <w:tcW w:w="1662" w:type="dxa"/>
            <w:vAlign w:val="center"/>
          </w:tcPr>
          <w:p w14:paraId="4710A78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财资环〔2024〕58 号</w:t>
            </w:r>
          </w:p>
        </w:tc>
        <w:tc>
          <w:tcPr>
            <w:tcW w:w="1238" w:type="dxa"/>
            <w:vAlign w:val="center"/>
          </w:tcPr>
          <w:p w14:paraId="4B9C251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default"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2024年6月13日</w:t>
            </w:r>
          </w:p>
        </w:tc>
        <w:tc>
          <w:tcPr>
            <w:tcW w:w="1237" w:type="dxa"/>
            <w:vAlign w:val="center"/>
          </w:tcPr>
          <w:p w14:paraId="38D5FA27">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default"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1455</w:t>
            </w:r>
          </w:p>
        </w:tc>
        <w:tc>
          <w:tcPr>
            <w:tcW w:w="1629" w:type="dxa"/>
            <w:vAlign w:val="center"/>
          </w:tcPr>
          <w:p w14:paraId="4995B80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尾矿库风险隐患治理</w:t>
            </w:r>
          </w:p>
        </w:tc>
      </w:tr>
      <w:tr w14:paraId="445B01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58" w:type="dxa"/>
            <w:vMerge w:val="restart"/>
            <w:vAlign w:val="center"/>
          </w:tcPr>
          <w:p w14:paraId="40FC852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《财政部关于下达2024年安全生产预防和应急救援能力建设补助资金预算（安全生产应急救援力量建设、危险化学品重大安全风险防控支出）的通知》</w:t>
            </w:r>
          </w:p>
        </w:tc>
        <w:tc>
          <w:tcPr>
            <w:tcW w:w="1662" w:type="dxa"/>
            <w:vMerge w:val="restart"/>
            <w:vAlign w:val="center"/>
          </w:tcPr>
          <w:p w14:paraId="600C531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财资环〔2024〕65号</w:t>
            </w:r>
          </w:p>
        </w:tc>
        <w:tc>
          <w:tcPr>
            <w:tcW w:w="1238" w:type="dxa"/>
            <w:vMerge w:val="restart"/>
            <w:vAlign w:val="center"/>
          </w:tcPr>
          <w:p w14:paraId="44A9F55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default"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2024年6月18日</w:t>
            </w:r>
          </w:p>
        </w:tc>
        <w:tc>
          <w:tcPr>
            <w:tcW w:w="1237" w:type="dxa"/>
            <w:vAlign w:val="center"/>
          </w:tcPr>
          <w:p w14:paraId="232CE52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default"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3039</w:t>
            </w:r>
          </w:p>
        </w:tc>
        <w:tc>
          <w:tcPr>
            <w:tcW w:w="1629" w:type="dxa"/>
            <w:vAlign w:val="center"/>
          </w:tcPr>
          <w:p w14:paraId="26C1321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安全生产应急救援力量建设</w:t>
            </w:r>
          </w:p>
        </w:tc>
      </w:tr>
      <w:tr w14:paraId="079CE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58" w:type="dxa"/>
            <w:vMerge w:val="continue"/>
            <w:vAlign w:val="center"/>
          </w:tcPr>
          <w:p w14:paraId="70DE6B2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Times New Roman"/>
                <w:bCs/>
                <w:kern w:val="44"/>
                <w:sz w:val="21"/>
                <w:szCs w:val="21"/>
                <w:lang w:val="en-US" w:eastAsia="zh-CN" w:bidi="ar-SA"/>
              </w:rPr>
            </w:pPr>
          </w:p>
        </w:tc>
        <w:tc>
          <w:tcPr>
            <w:tcW w:w="1662" w:type="dxa"/>
            <w:vMerge w:val="continue"/>
            <w:vAlign w:val="center"/>
          </w:tcPr>
          <w:p w14:paraId="5DE81B96">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kern w:val="44"/>
                <w:sz w:val="21"/>
                <w:szCs w:val="21"/>
                <w:lang w:val="en-US" w:eastAsia="zh-CN" w:bidi="ar-SA"/>
              </w:rPr>
            </w:pPr>
          </w:p>
        </w:tc>
        <w:tc>
          <w:tcPr>
            <w:tcW w:w="1238" w:type="dxa"/>
            <w:vMerge w:val="continue"/>
            <w:vAlign w:val="center"/>
          </w:tcPr>
          <w:p w14:paraId="1CB978B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kern w:val="44"/>
                <w:sz w:val="21"/>
                <w:szCs w:val="21"/>
                <w:lang w:val="en-US" w:eastAsia="zh-CN" w:bidi="ar-SA"/>
              </w:rPr>
            </w:pPr>
          </w:p>
        </w:tc>
        <w:tc>
          <w:tcPr>
            <w:tcW w:w="1237" w:type="dxa"/>
            <w:vAlign w:val="center"/>
          </w:tcPr>
          <w:p w14:paraId="164971C8">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default"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845</w:t>
            </w:r>
          </w:p>
        </w:tc>
        <w:tc>
          <w:tcPr>
            <w:tcW w:w="1629" w:type="dxa"/>
            <w:vAlign w:val="center"/>
          </w:tcPr>
          <w:p w14:paraId="3E327AC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危险化学品重大安全风险防控</w:t>
            </w:r>
          </w:p>
        </w:tc>
      </w:tr>
    </w:tbl>
    <w:p w14:paraId="6F729F43">
      <w:pPr>
        <w:pStyle w:val="41"/>
        <w:numPr>
          <w:ilvl w:val="0"/>
          <w:numId w:val="0"/>
        </w:numPr>
        <w:spacing w:line="580" w:lineRule="exact"/>
        <w:ind w:firstLine="321" w:firstLineChars="100"/>
        <w:rPr>
          <w:rFonts w:hint="eastAsia" w:ascii="楷体" w:hAnsi="楷体" w:eastAsia="楷体" w:cs="楷体"/>
          <w:b/>
          <w:color w:val="auto"/>
          <w:sz w:val="32"/>
          <w:szCs w:val="32"/>
          <w:lang w:val="en-US" w:eastAsia="zh-CN"/>
        </w:rPr>
      </w:pPr>
    </w:p>
    <w:p w14:paraId="5C244F28">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2.绩效目标情况</w:t>
      </w:r>
    </w:p>
    <w:p w14:paraId="3E1BDFE5">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财政部</w:t>
      </w:r>
      <w:r>
        <w:rPr>
          <w:rFonts w:hint="eastAsia" w:ascii="仿宋" w:hAnsi="仿宋" w:eastAsia="仿宋"/>
          <w:bCs/>
          <w:kern w:val="44"/>
          <w:sz w:val="32"/>
          <w:szCs w:val="32"/>
          <w:lang w:eastAsia="zh-CN"/>
        </w:rPr>
        <w:t>下达</w:t>
      </w:r>
      <w:r>
        <w:rPr>
          <w:rFonts w:hint="eastAsia" w:ascii="仿宋" w:hAnsi="仿宋" w:eastAsia="仿宋"/>
          <w:bCs/>
          <w:kern w:val="44"/>
          <w:sz w:val="32"/>
          <w:szCs w:val="32"/>
          <w:lang w:val="en-US" w:eastAsia="zh-CN"/>
        </w:rPr>
        <w:t>中央转移支付时</w:t>
      </w:r>
      <w:r>
        <w:rPr>
          <w:rFonts w:hint="eastAsia" w:ascii="仿宋" w:hAnsi="仿宋" w:eastAsia="仿宋"/>
          <w:bCs/>
          <w:kern w:val="44"/>
          <w:sz w:val="32"/>
          <w:szCs w:val="32"/>
          <w:lang w:eastAsia="zh-CN"/>
        </w:rPr>
        <w:t>，同步下达了“</w:t>
      </w:r>
      <w:r>
        <w:rPr>
          <w:rFonts w:hint="eastAsia" w:ascii="仿宋" w:hAnsi="仿宋" w:eastAsia="仿宋"/>
          <w:bCs/>
          <w:kern w:val="44"/>
          <w:sz w:val="32"/>
          <w:szCs w:val="32"/>
          <w:lang w:val="en-US" w:eastAsia="zh-CN"/>
        </w:rPr>
        <w:t>2024年</w:t>
      </w:r>
      <w:r>
        <w:rPr>
          <w:rFonts w:hint="eastAsia" w:ascii="仿宋" w:hAnsi="仿宋" w:eastAsia="仿宋"/>
          <w:bCs/>
          <w:kern w:val="44"/>
          <w:sz w:val="32"/>
          <w:szCs w:val="32"/>
          <w:lang w:eastAsia="zh-CN"/>
        </w:rPr>
        <w:t>安全生产预防和应急救援能力建设补助资金</w:t>
      </w:r>
      <w:r>
        <w:rPr>
          <w:rFonts w:hint="eastAsia" w:ascii="仿宋" w:hAnsi="仿宋" w:eastAsia="仿宋"/>
          <w:bCs/>
          <w:kern w:val="44"/>
          <w:sz w:val="32"/>
          <w:szCs w:val="32"/>
          <w:lang w:val="en-US" w:eastAsia="zh-CN"/>
        </w:rPr>
        <w:t>预算区域</w:t>
      </w:r>
      <w:r>
        <w:rPr>
          <w:rFonts w:hint="eastAsia" w:ascii="仿宋" w:hAnsi="仿宋" w:eastAsia="仿宋"/>
          <w:bCs/>
          <w:kern w:val="44"/>
          <w:sz w:val="32"/>
          <w:szCs w:val="32"/>
          <w:lang w:eastAsia="zh-CN"/>
        </w:rPr>
        <w:t>绩效目标</w:t>
      </w:r>
      <w:r>
        <w:rPr>
          <w:rFonts w:hint="eastAsia" w:ascii="仿宋" w:hAnsi="仿宋" w:eastAsia="仿宋"/>
          <w:bCs/>
          <w:kern w:val="44"/>
          <w:sz w:val="32"/>
          <w:szCs w:val="32"/>
          <w:lang w:val="en-US" w:eastAsia="zh-CN"/>
        </w:rPr>
        <w:t>表</w:t>
      </w:r>
      <w:r>
        <w:rPr>
          <w:rFonts w:hint="eastAsia" w:ascii="仿宋" w:hAnsi="仿宋" w:eastAsia="仿宋"/>
          <w:bCs/>
          <w:kern w:val="44"/>
          <w:sz w:val="32"/>
          <w:szCs w:val="32"/>
          <w:lang w:eastAsia="zh-CN"/>
        </w:rPr>
        <w:t>”，具体详见附表</w:t>
      </w:r>
      <w:r>
        <w:rPr>
          <w:rFonts w:hint="eastAsia" w:ascii="仿宋" w:hAnsi="仿宋" w:eastAsia="仿宋"/>
          <w:bCs/>
          <w:kern w:val="44"/>
          <w:sz w:val="32"/>
          <w:szCs w:val="32"/>
          <w:lang w:val="en-US" w:eastAsia="zh-CN"/>
        </w:rPr>
        <w:t>1-4</w:t>
      </w:r>
      <w:r>
        <w:rPr>
          <w:rFonts w:hint="eastAsia" w:ascii="仿宋" w:hAnsi="仿宋" w:eastAsia="仿宋"/>
          <w:bCs/>
          <w:kern w:val="44"/>
          <w:sz w:val="32"/>
          <w:szCs w:val="32"/>
          <w:lang w:eastAsia="zh-CN"/>
        </w:rPr>
        <w:t>。</w:t>
      </w:r>
    </w:p>
    <w:p w14:paraId="63EAD879">
      <w:pPr>
        <w:pStyle w:val="41"/>
        <w:numPr>
          <w:ilvl w:val="0"/>
          <w:numId w:val="0"/>
        </w:numPr>
        <w:spacing w:line="580" w:lineRule="exact"/>
        <w:ind w:firstLine="321" w:firstLineChars="100"/>
        <w:rPr>
          <w:rFonts w:hint="default" w:ascii="楷体" w:hAnsi="楷体" w:eastAsia="楷体" w:cs="楷体"/>
          <w:b/>
          <w:color w:val="auto"/>
          <w:sz w:val="32"/>
          <w:szCs w:val="32"/>
          <w:lang w:val="en-US" w:eastAsia="zh-CN"/>
        </w:rPr>
      </w:pPr>
      <w:r>
        <w:rPr>
          <w:rFonts w:hint="eastAsia" w:ascii="楷体" w:hAnsi="楷体" w:eastAsia="楷体" w:cs="楷体"/>
          <w:b/>
          <w:color w:val="auto"/>
          <w:sz w:val="32"/>
          <w:szCs w:val="32"/>
          <w:lang w:val="en-US" w:eastAsia="zh-CN"/>
        </w:rPr>
        <w:t>（二）省内分解下达预算和绩效目标情况</w:t>
      </w:r>
    </w:p>
    <w:p w14:paraId="395EB22C">
      <w:pPr>
        <w:pStyle w:val="4"/>
        <w:spacing w:before="0" w:after="0" w:line="240" w:lineRule="auto"/>
        <w:ind w:firstLine="643" w:firstLineChars="200"/>
        <w:rPr>
          <w:rFonts w:hint="default" w:ascii="仿宋" w:hAnsi="仿宋" w:eastAsia="仿宋" w:cs="仿宋"/>
          <w:b/>
          <w:bCs w:val="0"/>
          <w:lang w:val="en-US" w:eastAsia="zh-CN"/>
        </w:rPr>
      </w:pPr>
      <w:r>
        <w:rPr>
          <w:rFonts w:hint="eastAsia" w:ascii="仿宋" w:hAnsi="仿宋" w:eastAsia="仿宋" w:cs="仿宋"/>
          <w:b/>
          <w:bCs w:val="0"/>
          <w:lang w:val="en-US" w:eastAsia="zh-CN"/>
        </w:rPr>
        <w:t>1.省内分解下达预算</w:t>
      </w:r>
    </w:p>
    <w:p w14:paraId="272646B1">
      <w:pPr>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lang w:eastAsia="zh-CN"/>
        </w:rPr>
        <w:t>本项目预算安排资金</w:t>
      </w:r>
      <w:r>
        <w:rPr>
          <w:rFonts w:hint="eastAsia" w:ascii="仿宋" w:hAnsi="仿宋" w:eastAsia="仿宋"/>
          <w:bCs/>
          <w:kern w:val="44"/>
          <w:sz w:val="32"/>
          <w:szCs w:val="32"/>
          <w:lang w:val="en-US" w:eastAsia="zh-CN"/>
        </w:rPr>
        <w:t>13843</w:t>
      </w:r>
      <w:r>
        <w:rPr>
          <w:rFonts w:hint="eastAsia" w:ascii="仿宋" w:hAnsi="仿宋" w:eastAsia="仿宋"/>
          <w:bCs/>
          <w:kern w:val="44"/>
          <w:sz w:val="32"/>
          <w:szCs w:val="32"/>
          <w:lang w:eastAsia="zh-CN"/>
        </w:rPr>
        <w:t>万元，其中，中央转移支付预算</w:t>
      </w:r>
      <w:r>
        <w:rPr>
          <w:rFonts w:hint="eastAsia" w:ascii="仿宋" w:hAnsi="仿宋" w:eastAsia="仿宋"/>
          <w:bCs/>
          <w:kern w:val="44"/>
          <w:sz w:val="32"/>
          <w:szCs w:val="32"/>
          <w:lang w:val="en-US" w:eastAsia="zh-CN"/>
        </w:rPr>
        <w:t>11045</w:t>
      </w:r>
      <w:r>
        <w:rPr>
          <w:rFonts w:hint="eastAsia" w:ascii="仿宋" w:hAnsi="仿宋" w:eastAsia="仿宋"/>
          <w:bCs/>
          <w:kern w:val="44"/>
          <w:sz w:val="32"/>
          <w:szCs w:val="32"/>
          <w:lang w:eastAsia="zh-CN"/>
        </w:rPr>
        <w:t>万元，福建省地方财政预算</w:t>
      </w:r>
      <w:r>
        <w:rPr>
          <w:rFonts w:hint="eastAsia" w:ascii="仿宋" w:hAnsi="仿宋" w:eastAsia="仿宋"/>
          <w:bCs/>
          <w:kern w:val="44"/>
          <w:sz w:val="32"/>
          <w:szCs w:val="32"/>
          <w:lang w:val="en-US" w:eastAsia="zh-CN"/>
        </w:rPr>
        <w:t>2798</w:t>
      </w:r>
      <w:r>
        <w:rPr>
          <w:rFonts w:hint="eastAsia" w:ascii="仿宋" w:hAnsi="仿宋" w:eastAsia="仿宋"/>
          <w:bCs/>
          <w:kern w:val="44"/>
          <w:sz w:val="32"/>
          <w:szCs w:val="32"/>
          <w:lang w:eastAsia="zh-CN"/>
        </w:rPr>
        <w:t>万元（</w:t>
      </w:r>
      <w:r>
        <w:rPr>
          <w:rFonts w:hint="eastAsia" w:ascii="仿宋" w:hAnsi="仿宋" w:eastAsia="仿宋"/>
          <w:bCs/>
          <w:kern w:val="44"/>
          <w:sz w:val="32"/>
          <w:szCs w:val="32"/>
          <w:lang w:val="en-US" w:eastAsia="zh-CN"/>
        </w:rPr>
        <w:t>配套中央转移支付--尾矿库风险隐患治理支出补助预算1455万元、危险化学品重大安全风险防控支出补助预算1343万元）</w:t>
      </w:r>
      <w:r>
        <w:rPr>
          <w:rFonts w:hint="eastAsia" w:ascii="仿宋" w:hAnsi="仿宋" w:eastAsia="仿宋"/>
          <w:bCs/>
          <w:kern w:val="44"/>
          <w:sz w:val="32"/>
          <w:szCs w:val="32"/>
          <w:lang w:eastAsia="zh-CN"/>
        </w:rPr>
        <w:t>。</w:t>
      </w:r>
    </w:p>
    <w:p w14:paraId="46A17A05">
      <w:pPr>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lang w:val="en-US" w:eastAsia="zh-CN"/>
        </w:rPr>
        <w:t>福建省财政厅、应急管理厅按财政部相关文件的要求，结合中央转移支付资金下达进度，将项目资金分批分次</w:t>
      </w:r>
      <w:r>
        <w:rPr>
          <w:rFonts w:hint="eastAsia" w:ascii="仿宋" w:hAnsi="仿宋" w:eastAsia="仿宋"/>
          <w:bCs/>
          <w:kern w:val="44"/>
          <w:sz w:val="32"/>
          <w:szCs w:val="32"/>
          <w:lang w:eastAsia="zh-CN"/>
        </w:rPr>
        <w:t>下达</w:t>
      </w:r>
      <w:r>
        <w:rPr>
          <w:rFonts w:hint="eastAsia" w:ascii="仿宋" w:hAnsi="仿宋" w:eastAsia="仿宋"/>
          <w:bCs/>
          <w:kern w:val="44"/>
          <w:sz w:val="32"/>
          <w:szCs w:val="32"/>
          <w:lang w:val="en-US" w:eastAsia="zh-CN"/>
        </w:rPr>
        <w:t>至</w:t>
      </w:r>
      <w:r>
        <w:rPr>
          <w:rFonts w:hint="eastAsia" w:ascii="仿宋" w:hAnsi="仿宋" w:eastAsia="仿宋"/>
          <w:bCs/>
          <w:kern w:val="44"/>
          <w:sz w:val="32"/>
          <w:szCs w:val="32"/>
          <w:lang w:eastAsia="zh-CN"/>
        </w:rPr>
        <w:t>全省9个设区市（含平潭综合实验区，不含厦门）及其下辖的各县（市、区）有关部门。</w:t>
      </w:r>
    </w:p>
    <w:p w14:paraId="20D1CF38">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截至2024年12月31日，本项目分解下达预算11037万元，其中，中央转移支付8899万元，地方财政配套资金2138万元。具体分解下达</w:t>
      </w:r>
      <w:r>
        <w:rPr>
          <w:rFonts w:hint="eastAsia" w:ascii="仿宋" w:hAnsi="仿宋" w:eastAsia="仿宋"/>
          <w:bCs/>
          <w:kern w:val="44"/>
          <w:sz w:val="32"/>
          <w:szCs w:val="32"/>
          <w:lang w:eastAsia="zh-CN"/>
        </w:rPr>
        <w:t>文件名称、</w:t>
      </w:r>
      <w:r>
        <w:rPr>
          <w:rFonts w:hint="eastAsia" w:ascii="仿宋" w:hAnsi="仿宋" w:eastAsia="仿宋"/>
          <w:bCs/>
          <w:kern w:val="44"/>
          <w:sz w:val="32"/>
          <w:szCs w:val="32"/>
          <w:lang w:val="en-US" w:eastAsia="zh-CN"/>
        </w:rPr>
        <w:t>发文日期、</w:t>
      </w:r>
      <w:r>
        <w:rPr>
          <w:rFonts w:hint="eastAsia" w:ascii="仿宋" w:hAnsi="仿宋" w:eastAsia="仿宋"/>
          <w:bCs/>
          <w:kern w:val="44"/>
          <w:sz w:val="32"/>
          <w:szCs w:val="32"/>
          <w:lang w:eastAsia="zh-CN"/>
        </w:rPr>
        <w:t>金额以及</w:t>
      </w:r>
      <w:r>
        <w:rPr>
          <w:rFonts w:hint="eastAsia" w:ascii="仿宋" w:hAnsi="仿宋" w:eastAsia="仿宋"/>
          <w:bCs/>
          <w:kern w:val="44"/>
          <w:sz w:val="32"/>
          <w:szCs w:val="32"/>
          <w:lang w:val="en-US" w:eastAsia="zh-CN"/>
        </w:rPr>
        <w:t>资金投向等</w:t>
      </w:r>
      <w:r>
        <w:rPr>
          <w:rFonts w:hint="eastAsia" w:ascii="仿宋" w:hAnsi="仿宋" w:eastAsia="仿宋"/>
          <w:bCs/>
          <w:kern w:val="44"/>
          <w:sz w:val="32"/>
          <w:szCs w:val="32"/>
          <w:lang w:eastAsia="zh-CN"/>
        </w:rPr>
        <w:t>信息详见表</w:t>
      </w:r>
      <w:r>
        <w:rPr>
          <w:rFonts w:hint="eastAsia" w:ascii="仿宋" w:hAnsi="仿宋" w:eastAsia="仿宋"/>
          <w:bCs/>
          <w:kern w:val="44"/>
          <w:sz w:val="32"/>
          <w:szCs w:val="32"/>
          <w:lang w:val="en-US" w:eastAsia="zh-CN"/>
        </w:rPr>
        <w:t>2</w:t>
      </w:r>
      <w:r>
        <w:rPr>
          <w:rFonts w:hint="eastAsia" w:ascii="仿宋" w:hAnsi="仿宋" w:eastAsia="仿宋"/>
          <w:bCs/>
          <w:kern w:val="44"/>
          <w:sz w:val="32"/>
          <w:szCs w:val="32"/>
          <w:lang w:eastAsia="zh-CN"/>
        </w:rPr>
        <w:t>。</w:t>
      </w:r>
    </w:p>
    <w:p w14:paraId="5E566B32">
      <w:pPr>
        <w:pStyle w:val="11"/>
        <w:spacing w:line="560" w:lineRule="exact"/>
        <w:ind w:firstLine="3092" w:firstLineChars="1100"/>
        <w:rPr>
          <w:rFonts w:ascii="仿宋" w:hAnsi="仿宋" w:eastAsia="仿宋"/>
          <w:b/>
          <w:kern w:val="44"/>
          <w:szCs w:val="28"/>
        </w:rPr>
      </w:pPr>
      <w:r>
        <w:rPr>
          <w:rFonts w:hint="eastAsia" w:ascii="仿宋" w:hAnsi="仿宋" w:eastAsia="仿宋"/>
          <w:b/>
          <w:kern w:val="44"/>
          <w:szCs w:val="28"/>
        </w:rPr>
        <w:t>表</w:t>
      </w:r>
      <w:r>
        <w:rPr>
          <w:rFonts w:hint="eastAsia" w:ascii="仿宋" w:hAnsi="仿宋" w:eastAsia="仿宋"/>
          <w:b/>
          <w:kern w:val="44"/>
          <w:szCs w:val="28"/>
          <w:lang w:val="en-US" w:eastAsia="zh-CN"/>
        </w:rPr>
        <w:t>2</w:t>
      </w:r>
      <w:r>
        <w:rPr>
          <w:rFonts w:hint="eastAsia" w:ascii="仿宋" w:hAnsi="仿宋" w:eastAsia="仿宋"/>
          <w:b/>
          <w:kern w:val="44"/>
          <w:szCs w:val="28"/>
        </w:rPr>
        <w:t xml:space="preserve"> 本项目</w:t>
      </w:r>
      <w:r>
        <w:rPr>
          <w:rFonts w:hint="eastAsia" w:ascii="仿宋" w:hAnsi="仿宋" w:eastAsia="仿宋"/>
          <w:b/>
          <w:kern w:val="44"/>
          <w:szCs w:val="28"/>
          <w:lang w:val="en-US" w:eastAsia="zh-CN"/>
        </w:rPr>
        <w:t>省内分解</w:t>
      </w:r>
      <w:r>
        <w:rPr>
          <w:rFonts w:hint="eastAsia" w:ascii="仿宋" w:hAnsi="仿宋" w:eastAsia="仿宋"/>
          <w:b/>
          <w:kern w:val="44"/>
          <w:szCs w:val="28"/>
        </w:rPr>
        <w:t>下达情况</w:t>
      </w:r>
    </w:p>
    <w:tbl>
      <w:tblPr>
        <w:tblStyle w:val="16"/>
        <w:tblW w:w="4993"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53"/>
        <w:gridCol w:w="1383"/>
        <w:gridCol w:w="1197"/>
        <w:gridCol w:w="1172"/>
        <w:gridCol w:w="1310"/>
      </w:tblGrid>
      <w:tr w14:paraId="418838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trPr>
        <w:tc>
          <w:tcPr>
            <w:tcW w:w="2367" w:type="pct"/>
            <w:shd w:val="clear" w:color="auto" w:fill="F1F1F1" w:themeFill="background1" w:themeFillShade="F2"/>
            <w:vAlign w:val="center"/>
          </w:tcPr>
          <w:p w14:paraId="3B1ADAB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eastAsia" w:ascii="仿宋" w:hAnsi="仿宋" w:eastAsia="仿宋"/>
                <w:b/>
                <w:kern w:val="44"/>
                <w:sz w:val="21"/>
                <w:szCs w:val="21"/>
                <w:lang w:eastAsia="zh-CN"/>
              </w:rPr>
            </w:pPr>
            <w:r>
              <w:rPr>
                <w:rFonts w:hint="eastAsia" w:ascii="仿宋" w:hAnsi="仿宋" w:eastAsia="仿宋"/>
                <w:b/>
                <w:kern w:val="44"/>
                <w:sz w:val="21"/>
                <w:szCs w:val="21"/>
                <w:lang w:eastAsia="zh-CN"/>
              </w:rPr>
              <w:t>资金下达文件</w:t>
            </w:r>
          </w:p>
        </w:tc>
        <w:tc>
          <w:tcPr>
            <w:tcW w:w="719" w:type="pct"/>
            <w:shd w:val="clear" w:color="auto" w:fill="F1F1F1" w:themeFill="background1" w:themeFillShade="F2"/>
            <w:vAlign w:val="center"/>
          </w:tcPr>
          <w:p w14:paraId="4060429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
                <w:bCs/>
                <w:kern w:val="44"/>
                <w:sz w:val="21"/>
                <w:szCs w:val="21"/>
                <w:lang w:val="en-US" w:eastAsia="zh-CN" w:bidi="ar-SA"/>
              </w:rPr>
            </w:pPr>
            <w:r>
              <w:rPr>
                <w:rFonts w:hint="eastAsia" w:ascii="仿宋" w:hAnsi="仿宋" w:eastAsia="仿宋" w:cs="Times New Roman"/>
                <w:b/>
                <w:bCs/>
                <w:kern w:val="44"/>
                <w:sz w:val="21"/>
                <w:szCs w:val="21"/>
                <w:lang w:val="en-US" w:eastAsia="zh-CN" w:bidi="ar-SA"/>
              </w:rPr>
              <w:t>文件号</w:t>
            </w:r>
          </w:p>
        </w:tc>
        <w:tc>
          <w:tcPr>
            <w:tcW w:w="622" w:type="pct"/>
            <w:shd w:val="clear" w:color="auto" w:fill="F1F1F1" w:themeFill="background1" w:themeFillShade="F2"/>
            <w:vAlign w:val="center"/>
          </w:tcPr>
          <w:p w14:paraId="0CEBB83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
                <w:bCs/>
                <w:kern w:val="44"/>
                <w:sz w:val="21"/>
                <w:szCs w:val="21"/>
                <w:lang w:val="en-US" w:eastAsia="zh-CN" w:bidi="ar-SA"/>
              </w:rPr>
            </w:pPr>
            <w:r>
              <w:rPr>
                <w:rFonts w:hint="eastAsia" w:ascii="仿宋" w:hAnsi="仿宋" w:eastAsia="仿宋" w:cs="Times New Roman"/>
                <w:b/>
                <w:bCs/>
                <w:kern w:val="44"/>
                <w:sz w:val="21"/>
                <w:szCs w:val="21"/>
                <w:lang w:val="en-US" w:eastAsia="zh-CN" w:bidi="ar-SA"/>
              </w:rPr>
              <w:t>发文日期</w:t>
            </w:r>
          </w:p>
        </w:tc>
        <w:tc>
          <w:tcPr>
            <w:tcW w:w="609" w:type="pct"/>
            <w:shd w:val="clear" w:color="auto" w:fill="F1F1F1" w:themeFill="background1" w:themeFillShade="F2"/>
            <w:vAlign w:val="center"/>
          </w:tcPr>
          <w:p w14:paraId="6DC56451">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b/>
                <w:kern w:val="44"/>
                <w:sz w:val="21"/>
                <w:szCs w:val="21"/>
                <w:lang w:eastAsia="zh-CN"/>
              </w:rPr>
            </w:pPr>
            <w:r>
              <w:rPr>
                <w:rFonts w:hint="eastAsia" w:ascii="仿宋" w:hAnsi="仿宋" w:eastAsia="仿宋"/>
                <w:b/>
                <w:kern w:val="44"/>
                <w:sz w:val="21"/>
                <w:szCs w:val="21"/>
                <w:lang w:eastAsia="zh-CN"/>
              </w:rPr>
              <w:t>下达金额</w:t>
            </w:r>
          </w:p>
          <w:p w14:paraId="58236CE1">
            <w:pPr>
              <w:rPr>
                <w:rFonts w:hint="default"/>
                <w:lang w:val="en-US" w:eastAsia="zh-CN"/>
              </w:rPr>
            </w:pPr>
            <w:r>
              <w:rPr>
                <w:rFonts w:hint="eastAsia" w:ascii="仿宋" w:hAnsi="仿宋" w:eastAsia="仿宋"/>
                <w:b/>
                <w:kern w:val="44"/>
                <w:sz w:val="21"/>
                <w:szCs w:val="21"/>
                <w:lang w:eastAsia="zh-CN"/>
              </w:rPr>
              <w:t>（</w:t>
            </w:r>
            <w:r>
              <w:rPr>
                <w:rFonts w:hint="eastAsia" w:ascii="仿宋" w:hAnsi="仿宋" w:eastAsia="仿宋"/>
                <w:b/>
                <w:kern w:val="44"/>
                <w:sz w:val="21"/>
                <w:szCs w:val="21"/>
                <w:lang w:val="en-US" w:eastAsia="zh-CN"/>
              </w:rPr>
              <w:t>万元）</w:t>
            </w:r>
          </w:p>
        </w:tc>
        <w:tc>
          <w:tcPr>
            <w:tcW w:w="681" w:type="pct"/>
            <w:shd w:val="clear" w:color="auto" w:fill="F1F1F1" w:themeFill="background1" w:themeFillShade="F2"/>
            <w:vAlign w:val="center"/>
          </w:tcPr>
          <w:p w14:paraId="67DED9E0">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b/>
                <w:kern w:val="44"/>
                <w:sz w:val="21"/>
                <w:szCs w:val="21"/>
                <w:lang w:eastAsia="zh-CN"/>
              </w:rPr>
            </w:pPr>
            <w:r>
              <w:rPr>
                <w:rFonts w:hint="eastAsia" w:ascii="仿宋" w:hAnsi="仿宋" w:eastAsia="仿宋"/>
                <w:b/>
                <w:kern w:val="44"/>
                <w:sz w:val="21"/>
                <w:szCs w:val="21"/>
                <w:lang w:eastAsia="zh-CN"/>
              </w:rPr>
              <w:t>资金来源</w:t>
            </w:r>
          </w:p>
        </w:tc>
      </w:tr>
      <w:tr w14:paraId="42D57A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5" w:hRule="atLeast"/>
        </w:trPr>
        <w:tc>
          <w:tcPr>
            <w:tcW w:w="2367" w:type="pct"/>
            <w:vAlign w:val="center"/>
          </w:tcPr>
          <w:p w14:paraId="26BBC34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default" w:ascii="仿宋" w:hAnsi="仿宋" w:eastAsia="仿宋"/>
                <w:b/>
                <w:kern w:val="44"/>
                <w:sz w:val="21"/>
                <w:szCs w:val="21"/>
                <w:lang w:val="en-US" w:eastAsia="zh-CN"/>
              </w:rPr>
            </w:pPr>
            <w:r>
              <w:rPr>
                <w:rFonts w:hint="eastAsia" w:ascii="仿宋" w:hAnsi="仿宋" w:eastAsia="仿宋"/>
                <w:b/>
                <w:kern w:val="44"/>
                <w:sz w:val="21"/>
                <w:szCs w:val="21"/>
                <w:lang w:val="en-US" w:eastAsia="zh-CN"/>
              </w:rPr>
              <w:t>总计</w:t>
            </w:r>
          </w:p>
        </w:tc>
        <w:tc>
          <w:tcPr>
            <w:tcW w:w="719" w:type="pct"/>
            <w:vAlign w:val="center"/>
          </w:tcPr>
          <w:p w14:paraId="16F351D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default" w:ascii="仿宋" w:hAnsi="仿宋" w:eastAsia="仿宋" w:cs="Times New Roman"/>
                <w:b/>
                <w:bCs/>
                <w:kern w:val="44"/>
                <w:sz w:val="21"/>
                <w:szCs w:val="21"/>
                <w:lang w:val="en-US" w:eastAsia="zh-CN" w:bidi="ar-SA"/>
              </w:rPr>
            </w:pPr>
            <w:r>
              <w:rPr>
                <w:rFonts w:hint="eastAsia" w:ascii="仿宋" w:hAnsi="仿宋" w:eastAsia="仿宋" w:cs="Times New Roman"/>
                <w:b/>
                <w:bCs/>
                <w:kern w:val="44"/>
                <w:sz w:val="21"/>
                <w:szCs w:val="21"/>
                <w:lang w:val="en-US" w:eastAsia="zh-CN" w:bidi="ar-SA"/>
              </w:rPr>
              <w:t>-</w:t>
            </w:r>
          </w:p>
        </w:tc>
        <w:tc>
          <w:tcPr>
            <w:tcW w:w="622" w:type="pct"/>
            <w:vAlign w:val="center"/>
          </w:tcPr>
          <w:p w14:paraId="11049FE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default" w:ascii="仿宋" w:hAnsi="仿宋" w:eastAsia="仿宋" w:cs="Times New Roman"/>
                <w:b/>
                <w:bCs/>
                <w:kern w:val="44"/>
                <w:sz w:val="21"/>
                <w:szCs w:val="21"/>
                <w:lang w:val="en-US" w:eastAsia="zh-CN" w:bidi="ar-SA"/>
              </w:rPr>
            </w:pPr>
            <w:r>
              <w:rPr>
                <w:rFonts w:hint="eastAsia" w:ascii="仿宋" w:hAnsi="仿宋" w:eastAsia="仿宋" w:cs="Times New Roman"/>
                <w:b/>
                <w:bCs/>
                <w:kern w:val="44"/>
                <w:sz w:val="21"/>
                <w:szCs w:val="21"/>
                <w:lang w:val="en-US" w:eastAsia="zh-CN" w:bidi="ar-SA"/>
              </w:rPr>
              <w:t>-</w:t>
            </w:r>
          </w:p>
        </w:tc>
        <w:tc>
          <w:tcPr>
            <w:tcW w:w="609" w:type="pct"/>
            <w:vAlign w:val="center"/>
          </w:tcPr>
          <w:p w14:paraId="4FE3133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jc w:val="center"/>
              <w:textAlignment w:val="auto"/>
              <w:rPr>
                <w:rFonts w:hint="default" w:ascii="仿宋" w:hAnsi="仿宋" w:eastAsia="仿宋"/>
                <w:b/>
                <w:kern w:val="44"/>
                <w:sz w:val="21"/>
                <w:szCs w:val="21"/>
                <w:lang w:val="en-US" w:eastAsia="zh-CN"/>
              </w:rPr>
            </w:pPr>
            <w:r>
              <w:rPr>
                <w:rFonts w:hint="eastAsia" w:ascii="仿宋" w:hAnsi="仿宋" w:eastAsia="仿宋"/>
                <w:b/>
                <w:kern w:val="44"/>
                <w:sz w:val="21"/>
                <w:szCs w:val="21"/>
                <w:lang w:val="en-US" w:eastAsia="zh-CN"/>
              </w:rPr>
              <w:t>11037</w:t>
            </w:r>
          </w:p>
        </w:tc>
        <w:tc>
          <w:tcPr>
            <w:tcW w:w="681" w:type="pct"/>
            <w:vAlign w:val="center"/>
          </w:tcPr>
          <w:p w14:paraId="6CE143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
                <w:bCs/>
                <w:kern w:val="44"/>
                <w:sz w:val="21"/>
                <w:szCs w:val="21"/>
                <w:lang w:val="en-US" w:eastAsia="zh-CN" w:bidi="ar-SA"/>
              </w:rPr>
            </w:pPr>
            <w:r>
              <w:rPr>
                <w:rFonts w:hint="eastAsia" w:ascii="仿宋" w:hAnsi="仿宋" w:eastAsia="仿宋" w:cs="Times New Roman"/>
                <w:b/>
                <w:bCs/>
                <w:kern w:val="44"/>
                <w:sz w:val="21"/>
                <w:szCs w:val="21"/>
                <w:lang w:val="en-US" w:eastAsia="zh-CN" w:bidi="ar-SA"/>
              </w:rPr>
              <w:t>-</w:t>
            </w:r>
          </w:p>
        </w:tc>
      </w:tr>
      <w:tr w14:paraId="62CE81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67" w:type="pct"/>
            <w:vAlign w:val="center"/>
          </w:tcPr>
          <w:p w14:paraId="0DE47EA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福建省财政厅 福建省应急管理厅 国家矿山安全监察局福建局关于下达2024年安全生产预防和应急救援能力建设补助资金（煤矿及重点非煤矿山重大灾害风险防控支出）的通知</w:t>
            </w:r>
          </w:p>
        </w:tc>
        <w:tc>
          <w:tcPr>
            <w:tcW w:w="719" w:type="pct"/>
            <w:vAlign w:val="center"/>
          </w:tcPr>
          <w:p w14:paraId="0CD698D8">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kern w:val="44"/>
                <w:sz w:val="21"/>
                <w:szCs w:val="21"/>
                <w:lang w:val="en-US" w:eastAsia="zh-CN"/>
              </w:rPr>
            </w:pPr>
            <w:r>
              <w:rPr>
                <w:rFonts w:hint="eastAsia" w:ascii="仿宋" w:hAnsi="仿宋" w:eastAsia="仿宋" w:cs="Times New Roman"/>
                <w:kern w:val="44"/>
                <w:sz w:val="21"/>
                <w:szCs w:val="21"/>
                <w:lang w:val="en-US" w:eastAsia="zh-CN"/>
              </w:rPr>
              <w:t>闽财建指〔2024〕68号</w:t>
            </w:r>
          </w:p>
        </w:tc>
        <w:tc>
          <w:tcPr>
            <w:tcW w:w="622" w:type="pct"/>
            <w:vAlign w:val="center"/>
          </w:tcPr>
          <w:p w14:paraId="0BD6722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default"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2024年7月10日</w:t>
            </w:r>
          </w:p>
        </w:tc>
        <w:tc>
          <w:tcPr>
            <w:tcW w:w="609" w:type="pct"/>
            <w:vAlign w:val="center"/>
          </w:tcPr>
          <w:p w14:paraId="386778DF">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仿宋" w:hAnsi="仿宋" w:eastAsia="仿宋" w:cs="Times New Roman"/>
                <w:color w:val="auto"/>
                <w:kern w:val="44"/>
                <w:sz w:val="21"/>
                <w:szCs w:val="21"/>
                <w:lang w:val="en-US" w:eastAsia="zh-CN"/>
              </w:rPr>
            </w:pPr>
            <w:r>
              <w:rPr>
                <w:rFonts w:hint="eastAsia" w:ascii="仿宋" w:hAnsi="仿宋" w:eastAsia="仿宋" w:cs="Times New Roman"/>
                <w:color w:val="auto"/>
                <w:kern w:val="44"/>
                <w:sz w:val="21"/>
                <w:szCs w:val="21"/>
                <w:lang w:val="en-US" w:eastAsia="zh-CN"/>
              </w:rPr>
              <w:t>5706</w:t>
            </w:r>
          </w:p>
        </w:tc>
        <w:tc>
          <w:tcPr>
            <w:tcW w:w="681" w:type="pct"/>
            <w:vAlign w:val="center"/>
          </w:tcPr>
          <w:p w14:paraId="1AE1521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kern w:val="44"/>
                <w:sz w:val="21"/>
                <w:szCs w:val="21"/>
                <w:lang w:val="en-US" w:eastAsia="zh-CN" w:bidi="ar-SA"/>
              </w:rPr>
            </w:pPr>
            <w:r>
              <w:rPr>
                <w:rFonts w:hint="eastAsia" w:ascii="仿宋" w:hAnsi="仿宋" w:eastAsia="仿宋"/>
                <w:kern w:val="44"/>
                <w:sz w:val="21"/>
                <w:szCs w:val="21"/>
                <w:lang w:val="en-US" w:eastAsia="zh-CN"/>
              </w:rPr>
              <w:t>中央转移支付</w:t>
            </w:r>
          </w:p>
        </w:tc>
      </w:tr>
      <w:tr w14:paraId="63314F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67" w:type="pct"/>
            <w:vMerge w:val="restart"/>
            <w:shd w:val="clear" w:color="auto" w:fill="auto"/>
            <w:vAlign w:val="center"/>
          </w:tcPr>
          <w:p w14:paraId="020CF38C">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cs="Times New Roman"/>
                <w:bCs/>
                <w:color w:val="auto"/>
                <w:kern w:val="44"/>
                <w:sz w:val="21"/>
                <w:szCs w:val="21"/>
                <w:lang w:val="en-US" w:eastAsia="zh-CN" w:bidi="ar-SA"/>
              </w:rPr>
              <w:t>福建省财政厅 福建省应急管理厅关于下达2024年安全生产预防和应急救援能力建设补助资金（危险化学品重大安全风险防控支出）的通知</w:t>
            </w:r>
          </w:p>
        </w:tc>
        <w:tc>
          <w:tcPr>
            <w:tcW w:w="719" w:type="pct"/>
            <w:vMerge w:val="restart"/>
            <w:shd w:val="clear" w:color="auto" w:fill="auto"/>
            <w:vAlign w:val="center"/>
          </w:tcPr>
          <w:p w14:paraId="1C5907F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color w:val="auto"/>
                <w:kern w:val="44"/>
                <w:sz w:val="21"/>
                <w:szCs w:val="21"/>
                <w:lang w:val="en-US" w:eastAsia="zh-CN" w:bidi="ar-SA"/>
              </w:rPr>
            </w:pPr>
            <w:r>
              <w:rPr>
                <w:rFonts w:hint="eastAsia" w:ascii="仿宋" w:hAnsi="仿宋" w:eastAsia="仿宋" w:cs="Times New Roman"/>
                <w:color w:val="auto"/>
                <w:kern w:val="44"/>
                <w:sz w:val="21"/>
                <w:szCs w:val="21"/>
                <w:lang w:val="en-US" w:eastAsia="zh-CN"/>
              </w:rPr>
              <w:t>闽财建指〔2024〕69号</w:t>
            </w:r>
          </w:p>
        </w:tc>
        <w:tc>
          <w:tcPr>
            <w:tcW w:w="622" w:type="pct"/>
            <w:vMerge w:val="restart"/>
            <w:shd w:val="clear" w:color="auto" w:fill="auto"/>
            <w:vAlign w:val="center"/>
          </w:tcPr>
          <w:p w14:paraId="599048C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default" w:ascii="仿宋" w:hAnsi="仿宋" w:eastAsia="仿宋" w:cs="Times New Roman"/>
                <w:bCs/>
                <w:color w:val="auto"/>
                <w:kern w:val="44"/>
                <w:sz w:val="21"/>
                <w:szCs w:val="21"/>
                <w:lang w:val="en-US" w:eastAsia="zh-CN" w:bidi="ar-SA"/>
              </w:rPr>
            </w:pPr>
            <w:r>
              <w:rPr>
                <w:rFonts w:hint="eastAsia" w:ascii="仿宋" w:hAnsi="仿宋" w:eastAsia="仿宋" w:cs="Times New Roman"/>
                <w:bCs/>
                <w:color w:val="auto"/>
                <w:kern w:val="44"/>
                <w:sz w:val="21"/>
                <w:szCs w:val="21"/>
                <w:lang w:val="en-US" w:eastAsia="zh-CN" w:bidi="ar-SA"/>
              </w:rPr>
              <w:t>2024年7月10日</w:t>
            </w:r>
          </w:p>
        </w:tc>
        <w:tc>
          <w:tcPr>
            <w:tcW w:w="609" w:type="pct"/>
            <w:shd w:val="clear" w:color="auto" w:fill="auto"/>
            <w:vAlign w:val="center"/>
          </w:tcPr>
          <w:p w14:paraId="496D378B">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仿宋" w:hAnsi="仿宋" w:eastAsia="仿宋" w:cs="Times New Roman"/>
                <w:color w:val="auto"/>
                <w:kern w:val="44"/>
                <w:sz w:val="21"/>
                <w:szCs w:val="21"/>
                <w:lang w:val="en-US" w:eastAsia="zh-CN"/>
              </w:rPr>
            </w:pPr>
            <w:r>
              <w:rPr>
                <w:rFonts w:hint="eastAsia" w:ascii="仿宋" w:hAnsi="仿宋" w:eastAsia="仿宋" w:cs="Times New Roman"/>
                <w:color w:val="auto"/>
                <w:kern w:val="44"/>
                <w:sz w:val="21"/>
                <w:szCs w:val="21"/>
                <w:lang w:val="en-US" w:eastAsia="zh-CN"/>
              </w:rPr>
              <w:t>845</w:t>
            </w:r>
          </w:p>
        </w:tc>
        <w:tc>
          <w:tcPr>
            <w:tcW w:w="681" w:type="pct"/>
            <w:shd w:val="clear" w:color="auto" w:fill="auto"/>
            <w:vAlign w:val="center"/>
          </w:tcPr>
          <w:p w14:paraId="6C17330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default" w:ascii="仿宋" w:hAnsi="仿宋" w:eastAsia="仿宋" w:cs="Times New Roman"/>
                <w:bCs/>
                <w:color w:val="auto"/>
                <w:kern w:val="44"/>
                <w:sz w:val="21"/>
                <w:szCs w:val="21"/>
                <w:lang w:val="en-US" w:eastAsia="zh-CN" w:bidi="ar-SA"/>
              </w:rPr>
            </w:pPr>
            <w:r>
              <w:rPr>
                <w:rFonts w:hint="eastAsia" w:ascii="仿宋" w:hAnsi="仿宋" w:eastAsia="仿宋"/>
                <w:color w:val="auto"/>
                <w:kern w:val="44"/>
                <w:sz w:val="21"/>
                <w:szCs w:val="21"/>
                <w:lang w:val="en-US" w:eastAsia="zh-CN"/>
              </w:rPr>
              <w:t>中央转移支付</w:t>
            </w:r>
          </w:p>
        </w:tc>
      </w:tr>
      <w:tr w14:paraId="165C68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67" w:type="pct"/>
            <w:vMerge w:val="continue"/>
            <w:shd w:val="clear" w:color="auto" w:fill="auto"/>
            <w:vAlign w:val="center"/>
          </w:tcPr>
          <w:p w14:paraId="668FE7D3">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仿宋" w:hAnsi="仿宋" w:eastAsia="仿宋" w:cs="Times New Roman"/>
                <w:bCs/>
                <w:color w:val="auto"/>
                <w:kern w:val="44"/>
                <w:sz w:val="21"/>
                <w:szCs w:val="21"/>
                <w:lang w:val="en-US" w:eastAsia="zh-CN" w:bidi="ar-SA"/>
              </w:rPr>
            </w:pPr>
          </w:p>
        </w:tc>
        <w:tc>
          <w:tcPr>
            <w:tcW w:w="719" w:type="pct"/>
            <w:vMerge w:val="continue"/>
            <w:shd w:val="clear" w:color="auto" w:fill="auto"/>
            <w:vAlign w:val="center"/>
          </w:tcPr>
          <w:p w14:paraId="603A3DE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color w:val="auto"/>
                <w:kern w:val="44"/>
                <w:sz w:val="21"/>
                <w:szCs w:val="21"/>
                <w:lang w:val="en-US" w:eastAsia="zh-CN"/>
              </w:rPr>
            </w:pPr>
          </w:p>
        </w:tc>
        <w:tc>
          <w:tcPr>
            <w:tcW w:w="622" w:type="pct"/>
            <w:vMerge w:val="continue"/>
            <w:shd w:val="clear" w:color="auto" w:fill="auto"/>
            <w:vAlign w:val="center"/>
          </w:tcPr>
          <w:p w14:paraId="616791E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color w:val="auto"/>
                <w:kern w:val="44"/>
                <w:sz w:val="21"/>
                <w:szCs w:val="21"/>
                <w:lang w:val="en-US" w:eastAsia="zh-CN" w:bidi="ar-SA"/>
              </w:rPr>
            </w:pPr>
          </w:p>
        </w:tc>
        <w:tc>
          <w:tcPr>
            <w:tcW w:w="609" w:type="pct"/>
            <w:shd w:val="clear" w:color="auto" w:fill="auto"/>
            <w:vAlign w:val="center"/>
          </w:tcPr>
          <w:p w14:paraId="7252D7A9">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仿宋" w:hAnsi="仿宋" w:eastAsia="仿宋" w:cs="Times New Roman"/>
                <w:color w:val="auto"/>
                <w:kern w:val="44"/>
                <w:sz w:val="21"/>
                <w:szCs w:val="21"/>
                <w:lang w:val="en-US" w:eastAsia="zh-CN"/>
              </w:rPr>
            </w:pPr>
            <w:r>
              <w:rPr>
                <w:rFonts w:hint="eastAsia" w:ascii="仿宋" w:hAnsi="仿宋" w:eastAsia="仿宋" w:cs="Times New Roman"/>
                <w:color w:val="auto"/>
                <w:kern w:val="44"/>
                <w:sz w:val="21"/>
                <w:szCs w:val="21"/>
                <w:lang w:val="en-US" w:eastAsia="zh-CN"/>
              </w:rPr>
              <w:t>1343</w:t>
            </w:r>
          </w:p>
        </w:tc>
        <w:tc>
          <w:tcPr>
            <w:tcW w:w="681" w:type="pct"/>
            <w:shd w:val="clear" w:color="auto" w:fill="auto"/>
            <w:vAlign w:val="center"/>
          </w:tcPr>
          <w:p w14:paraId="2CAE4357">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地方财政资金</w:t>
            </w:r>
          </w:p>
        </w:tc>
      </w:tr>
      <w:tr w14:paraId="586828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67" w:type="pct"/>
            <w:vMerge w:val="restart"/>
            <w:shd w:val="clear" w:color="auto" w:fill="auto"/>
            <w:vAlign w:val="center"/>
          </w:tcPr>
          <w:p w14:paraId="5D002062">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福建省财政厅 福建省应急管理厅关于下达2024年安全生产预防和应急救援能力建设补助资金（尾矿库风险隐患治理支出）的通知</w:t>
            </w:r>
          </w:p>
        </w:tc>
        <w:tc>
          <w:tcPr>
            <w:tcW w:w="719" w:type="pct"/>
            <w:vMerge w:val="restart"/>
            <w:shd w:val="clear" w:color="auto" w:fill="auto"/>
            <w:vAlign w:val="center"/>
          </w:tcPr>
          <w:p w14:paraId="5AB73D5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kern w:val="44"/>
                <w:sz w:val="21"/>
                <w:szCs w:val="21"/>
                <w:lang w:val="en-US" w:eastAsia="zh-CN" w:bidi="ar-SA"/>
              </w:rPr>
            </w:pPr>
            <w:r>
              <w:rPr>
                <w:rFonts w:hint="eastAsia" w:ascii="仿宋" w:hAnsi="仿宋" w:eastAsia="仿宋" w:cs="Times New Roman"/>
                <w:kern w:val="44"/>
                <w:sz w:val="21"/>
                <w:szCs w:val="21"/>
                <w:lang w:val="en-US" w:eastAsia="zh-CN"/>
              </w:rPr>
              <w:t>闽财建指〔2024〕70号</w:t>
            </w:r>
          </w:p>
        </w:tc>
        <w:tc>
          <w:tcPr>
            <w:tcW w:w="622" w:type="pct"/>
            <w:vMerge w:val="restart"/>
            <w:shd w:val="clear" w:color="auto" w:fill="auto"/>
            <w:vAlign w:val="center"/>
          </w:tcPr>
          <w:p w14:paraId="2686B7C6">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2024年7月10日</w:t>
            </w:r>
          </w:p>
        </w:tc>
        <w:tc>
          <w:tcPr>
            <w:tcW w:w="609" w:type="pct"/>
            <w:shd w:val="clear" w:color="auto" w:fill="auto"/>
            <w:vAlign w:val="center"/>
          </w:tcPr>
          <w:p w14:paraId="29AE63F9">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仿宋" w:hAnsi="仿宋" w:eastAsia="仿宋" w:cs="Times New Roman"/>
                <w:color w:val="auto"/>
                <w:kern w:val="44"/>
                <w:sz w:val="21"/>
                <w:szCs w:val="21"/>
                <w:lang w:val="en-US" w:eastAsia="zh-CN"/>
              </w:rPr>
            </w:pPr>
            <w:r>
              <w:rPr>
                <w:rFonts w:hint="eastAsia" w:ascii="仿宋" w:hAnsi="仿宋" w:eastAsia="仿宋" w:cs="Times New Roman"/>
                <w:color w:val="auto"/>
                <w:kern w:val="44"/>
                <w:sz w:val="21"/>
                <w:szCs w:val="21"/>
                <w:lang w:val="en-US" w:eastAsia="zh-CN"/>
              </w:rPr>
              <w:t>1455</w:t>
            </w:r>
          </w:p>
        </w:tc>
        <w:tc>
          <w:tcPr>
            <w:tcW w:w="681" w:type="pct"/>
            <w:shd w:val="clear" w:color="auto" w:fill="auto"/>
            <w:vAlign w:val="center"/>
          </w:tcPr>
          <w:p w14:paraId="5BF21F4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kern w:val="44"/>
                <w:sz w:val="21"/>
                <w:szCs w:val="21"/>
                <w:lang w:val="en-US" w:eastAsia="zh-CN" w:bidi="ar-SA"/>
              </w:rPr>
            </w:pPr>
            <w:r>
              <w:rPr>
                <w:rFonts w:hint="eastAsia" w:ascii="仿宋" w:hAnsi="仿宋" w:eastAsia="仿宋"/>
                <w:kern w:val="44"/>
                <w:sz w:val="21"/>
                <w:szCs w:val="21"/>
                <w:lang w:val="en-US" w:eastAsia="zh-CN"/>
              </w:rPr>
              <w:t>中央转移支付</w:t>
            </w:r>
          </w:p>
        </w:tc>
      </w:tr>
      <w:tr w14:paraId="48A0C0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67" w:type="pct"/>
            <w:vMerge w:val="continue"/>
            <w:shd w:val="clear" w:color="auto" w:fill="auto"/>
            <w:vAlign w:val="center"/>
          </w:tcPr>
          <w:p w14:paraId="1A6A82E7">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仿宋" w:hAnsi="仿宋" w:eastAsia="仿宋" w:cs="Times New Roman"/>
                <w:bCs/>
                <w:kern w:val="44"/>
                <w:sz w:val="21"/>
                <w:szCs w:val="21"/>
                <w:lang w:val="en-US" w:eastAsia="zh-CN" w:bidi="ar-SA"/>
              </w:rPr>
            </w:pPr>
          </w:p>
        </w:tc>
        <w:tc>
          <w:tcPr>
            <w:tcW w:w="719" w:type="pct"/>
            <w:vMerge w:val="continue"/>
            <w:shd w:val="clear" w:color="auto" w:fill="auto"/>
            <w:vAlign w:val="center"/>
          </w:tcPr>
          <w:p w14:paraId="7AC8AB3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kern w:val="44"/>
                <w:sz w:val="21"/>
                <w:szCs w:val="21"/>
                <w:lang w:val="en-US" w:eastAsia="zh-CN"/>
              </w:rPr>
            </w:pPr>
          </w:p>
        </w:tc>
        <w:tc>
          <w:tcPr>
            <w:tcW w:w="622" w:type="pct"/>
            <w:vMerge w:val="continue"/>
            <w:shd w:val="clear" w:color="auto" w:fill="auto"/>
            <w:vAlign w:val="center"/>
          </w:tcPr>
          <w:p w14:paraId="5F502F0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bCs/>
                <w:kern w:val="44"/>
                <w:sz w:val="21"/>
                <w:szCs w:val="21"/>
                <w:lang w:val="en-US" w:eastAsia="zh-CN" w:bidi="ar-SA"/>
              </w:rPr>
            </w:pPr>
          </w:p>
        </w:tc>
        <w:tc>
          <w:tcPr>
            <w:tcW w:w="609" w:type="pct"/>
            <w:shd w:val="clear" w:color="auto" w:fill="auto"/>
            <w:vAlign w:val="center"/>
          </w:tcPr>
          <w:p w14:paraId="132D46F3">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仿宋" w:hAnsi="仿宋" w:eastAsia="仿宋" w:cs="Times New Roman"/>
                <w:color w:val="auto"/>
                <w:kern w:val="44"/>
                <w:sz w:val="21"/>
                <w:szCs w:val="21"/>
                <w:lang w:val="en-US" w:eastAsia="zh-CN"/>
              </w:rPr>
            </w:pPr>
            <w:r>
              <w:rPr>
                <w:rFonts w:hint="eastAsia" w:ascii="仿宋" w:hAnsi="仿宋" w:eastAsia="仿宋" w:cs="Times New Roman"/>
                <w:color w:val="auto"/>
                <w:kern w:val="44"/>
                <w:sz w:val="21"/>
                <w:szCs w:val="21"/>
                <w:lang w:val="en-US" w:eastAsia="zh-CN"/>
              </w:rPr>
              <w:t>795</w:t>
            </w:r>
          </w:p>
        </w:tc>
        <w:tc>
          <w:tcPr>
            <w:tcW w:w="681" w:type="pct"/>
            <w:shd w:val="clear" w:color="auto" w:fill="auto"/>
            <w:vAlign w:val="center"/>
          </w:tcPr>
          <w:p w14:paraId="3AB6239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kern w:val="44"/>
                <w:sz w:val="21"/>
                <w:szCs w:val="21"/>
                <w:lang w:val="en-US" w:eastAsia="zh-CN"/>
              </w:rPr>
            </w:pPr>
            <w:r>
              <w:rPr>
                <w:rFonts w:hint="eastAsia" w:ascii="仿宋" w:hAnsi="仿宋" w:eastAsia="仿宋"/>
                <w:kern w:val="44"/>
                <w:sz w:val="21"/>
                <w:szCs w:val="21"/>
                <w:lang w:val="en-US" w:eastAsia="zh-CN"/>
              </w:rPr>
              <w:t>地方财政资金</w:t>
            </w:r>
          </w:p>
        </w:tc>
      </w:tr>
      <w:tr w14:paraId="0F8C39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67" w:type="pct"/>
            <w:vAlign w:val="center"/>
          </w:tcPr>
          <w:p w14:paraId="298DB08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Times New Roman"/>
                <w:bCs/>
                <w:kern w:val="44"/>
                <w:sz w:val="21"/>
                <w:szCs w:val="21"/>
                <w:lang w:val="en-US" w:eastAsia="zh-CN" w:bidi="ar-SA"/>
              </w:rPr>
            </w:pPr>
            <w:r>
              <w:rPr>
                <w:rFonts w:hint="eastAsia" w:ascii="仿宋" w:hAnsi="仿宋" w:eastAsia="仿宋" w:cs="Times New Roman"/>
                <w:bCs/>
                <w:kern w:val="44"/>
                <w:sz w:val="21"/>
                <w:szCs w:val="21"/>
                <w:lang w:val="en-US" w:eastAsia="zh-CN" w:bidi="ar-SA"/>
              </w:rPr>
              <w:t>福建省财政厅 福建省应急管理厅关于安排2024年安全生产预防和应急救援能力建设补助资金（安全生产应急救援力量建设支出）的通知</w:t>
            </w:r>
          </w:p>
        </w:tc>
        <w:tc>
          <w:tcPr>
            <w:tcW w:w="719" w:type="pct"/>
            <w:vAlign w:val="center"/>
          </w:tcPr>
          <w:p w14:paraId="5447FF7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cs="Times New Roman"/>
                <w:kern w:val="44"/>
                <w:sz w:val="21"/>
                <w:szCs w:val="21"/>
                <w:lang w:val="en-US" w:eastAsia="zh-CN"/>
              </w:rPr>
            </w:pPr>
            <w:r>
              <w:rPr>
                <w:rFonts w:hint="eastAsia" w:ascii="仿宋" w:hAnsi="仿宋" w:eastAsia="仿宋" w:cs="Times New Roman"/>
                <w:kern w:val="44"/>
                <w:sz w:val="21"/>
                <w:szCs w:val="21"/>
                <w:lang w:val="en-US" w:eastAsia="zh-CN"/>
              </w:rPr>
              <w:t>闽财指〔2024〕559号</w:t>
            </w:r>
          </w:p>
        </w:tc>
        <w:tc>
          <w:tcPr>
            <w:tcW w:w="622" w:type="pct"/>
            <w:vAlign w:val="center"/>
          </w:tcPr>
          <w:p w14:paraId="78DBDC91">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default" w:ascii="仿宋" w:hAnsi="仿宋" w:eastAsia="仿宋" w:cs="Times New Roman"/>
                <w:kern w:val="44"/>
                <w:sz w:val="21"/>
                <w:szCs w:val="21"/>
                <w:lang w:val="en-US" w:eastAsia="zh-CN"/>
              </w:rPr>
            </w:pPr>
            <w:r>
              <w:rPr>
                <w:rFonts w:hint="eastAsia" w:ascii="仿宋" w:hAnsi="仿宋" w:eastAsia="仿宋" w:cs="Times New Roman"/>
                <w:kern w:val="44"/>
                <w:sz w:val="21"/>
                <w:szCs w:val="21"/>
                <w:lang w:val="en-US" w:eastAsia="zh-CN"/>
              </w:rPr>
              <w:t>2024年7月10日</w:t>
            </w:r>
          </w:p>
        </w:tc>
        <w:tc>
          <w:tcPr>
            <w:tcW w:w="609" w:type="pct"/>
            <w:vAlign w:val="center"/>
          </w:tcPr>
          <w:p w14:paraId="785E8C79">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仿宋" w:hAnsi="仿宋" w:eastAsia="仿宋" w:cs="Times New Roman"/>
                <w:color w:val="auto"/>
                <w:kern w:val="44"/>
                <w:sz w:val="21"/>
                <w:szCs w:val="21"/>
                <w:lang w:val="en-US" w:eastAsia="zh-CN"/>
              </w:rPr>
            </w:pPr>
            <w:r>
              <w:rPr>
                <w:rFonts w:hint="eastAsia" w:ascii="仿宋" w:hAnsi="仿宋" w:eastAsia="仿宋" w:cs="Times New Roman"/>
                <w:color w:val="auto"/>
                <w:kern w:val="44"/>
                <w:sz w:val="21"/>
                <w:szCs w:val="21"/>
                <w:lang w:val="en-US" w:eastAsia="zh-CN"/>
              </w:rPr>
              <w:t>893</w:t>
            </w:r>
          </w:p>
        </w:tc>
        <w:tc>
          <w:tcPr>
            <w:tcW w:w="681" w:type="pct"/>
            <w:vAlign w:val="center"/>
          </w:tcPr>
          <w:p w14:paraId="2AE497A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center"/>
              <w:textAlignment w:val="auto"/>
              <w:rPr>
                <w:rFonts w:hint="eastAsia" w:ascii="仿宋" w:hAnsi="仿宋" w:eastAsia="仿宋"/>
                <w:kern w:val="44"/>
                <w:sz w:val="21"/>
                <w:szCs w:val="21"/>
                <w:lang w:val="en-US" w:eastAsia="zh-CN"/>
              </w:rPr>
            </w:pPr>
            <w:r>
              <w:rPr>
                <w:rFonts w:hint="eastAsia" w:ascii="仿宋" w:hAnsi="仿宋" w:eastAsia="仿宋"/>
                <w:kern w:val="44"/>
                <w:sz w:val="21"/>
                <w:szCs w:val="21"/>
                <w:lang w:val="en-US" w:eastAsia="zh-CN"/>
              </w:rPr>
              <w:t>中央转移支付</w:t>
            </w:r>
          </w:p>
        </w:tc>
      </w:tr>
    </w:tbl>
    <w:p w14:paraId="51E18C34">
      <w:pPr>
        <w:ind w:firstLine="562" w:firstLineChars="200"/>
        <w:rPr>
          <w:rFonts w:hint="eastAsia" w:ascii="仿宋" w:hAnsi="仿宋" w:eastAsia="仿宋"/>
          <w:bCs/>
          <w:kern w:val="44"/>
          <w:sz w:val="32"/>
          <w:szCs w:val="32"/>
          <w:lang w:val="en-US" w:eastAsia="zh-CN"/>
        </w:rPr>
      </w:pPr>
      <w:r>
        <w:rPr>
          <w:rFonts w:hint="eastAsia" w:ascii="仿宋" w:hAnsi="仿宋" w:eastAsia="仿宋"/>
          <w:b/>
          <w:kern w:val="44"/>
          <w:sz w:val="28"/>
          <w:szCs w:val="28"/>
        </w:rPr>
        <w:t xml:space="preserve">  </w:t>
      </w:r>
    </w:p>
    <w:p w14:paraId="3FCEA148">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截至2024年12月31日，本项目未分解下达预算2806万元，其中，中央转移支付预算2146万元，该预算用于国家专业应急救援队伍（以下简称“国家专业队”）装备采购补助，项目资金需等国家专业队依托单位上报设备招标采购方案及招标结果，并经福建省财政厅（以下简称“省财政厅”或“财政厅”）、福建省应急管理厅（以下简称“省应急管理厅”或“应急管理厅”）审核通过后，按照规定流程予以拨付；地方财政配套预算660万元，该预算用于尾矿库风险隐患治理支出补助，将于项目竣工验收后按照规定流程予以拨付。</w:t>
      </w:r>
    </w:p>
    <w:p w14:paraId="040BDF07">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2.绩效目标情况</w:t>
      </w:r>
    </w:p>
    <w:p w14:paraId="6BFE1026">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kern w:val="44"/>
          <w:sz w:val="32"/>
          <w:szCs w:val="32"/>
          <w:lang w:val="en-US" w:eastAsia="zh-CN"/>
        </w:rPr>
        <w:t>省财政厅、应急管理厅</w:t>
      </w:r>
      <w:r>
        <w:rPr>
          <w:rFonts w:hint="eastAsia" w:ascii="仿宋" w:hAnsi="仿宋" w:eastAsia="仿宋"/>
          <w:bCs/>
          <w:kern w:val="44"/>
          <w:sz w:val="32"/>
          <w:szCs w:val="32"/>
          <w:lang w:eastAsia="zh-CN"/>
        </w:rPr>
        <w:t>下达</w:t>
      </w:r>
      <w:r>
        <w:rPr>
          <w:rFonts w:hint="eastAsia" w:ascii="仿宋" w:hAnsi="仿宋" w:eastAsia="仿宋"/>
          <w:bCs/>
          <w:kern w:val="44"/>
          <w:sz w:val="32"/>
          <w:szCs w:val="32"/>
          <w:lang w:val="en-US" w:eastAsia="zh-CN"/>
        </w:rPr>
        <w:t>资金时</w:t>
      </w:r>
      <w:r>
        <w:rPr>
          <w:rFonts w:hint="eastAsia" w:ascii="仿宋" w:hAnsi="仿宋" w:eastAsia="仿宋"/>
          <w:bCs/>
          <w:kern w:val="44"/>
          <w:sz w:val="32"/>
          <w:szCs w:val="32"/>
          <w:lang w:eastAsia="zh-CN"/>
        </w:rPr>
        <w:t>，同步下达了“</w:t>
      </w:r>
      <w:r>
        <w:rPr>
          <w:rFonts w:hint="eastAsia" w:ascii="仿宋" w:hAnsi="仿宋" w:eastAsia="仿宋"/>
          <w:bCs/>
          <w:kern w:val="44"/>
          <w:sz w:val="32"/>
          <w:szCs w:val="32"/>
          <w:lang w:val="en-US" w:eastAsia="zh-CN"/>
        </w:rPr>
        <w:t>2024年</w:t>
      </w:r>
      <w:r>
        <w:rPr>
          <w:rFonts w:hint="eastAsia" w:ascii="仿宋" w:hAnsi="仿宋" w:eastAsia="仿宋"/>
          <w:bCs/>
          <w:kern w:val="44"/>
          <w:sz w:val="32"/>
          <w:szCs w:val="32"/>
          <w:lang w:eastAsia="zh-CN"/>
        </w:rPr>
        <w:t>安全生产预防和应急救援能力建设补助资金</w:t>
      </w:r>
      <w:r>
        <w:rPr>
          <w:rFonts w:hint="eastAsia" w:ascii="仿宋" w:hAnsi="仿宋" w:eastAsia="仿宋"/>
          <w:bCs/>
          <w:kern w:val="44"/>
          <w:sz w:val="32"/>
          <w:szCs w:val="32"/>
          <w:lang w:val="en-US" w:eastAsia="zh-CN"/>
        </w:rPr>
        <w:t>预算</w:t>
      </w:r>
      <w:r>
        <w:rPr>
          <w:rFonts w:hint="eastAsia" w:ascii="仿宋" w:hAnsi="仿宋" w:eastAsia="仿宋"/>
          <w:bCs/>
          <w:kern w:val="44"/>
          <w:sz w:val="32"/>
          <w:szCs w:val="32"/>
          <w:lang w:eastAsia="zh-CN"/>
        </w:rPr>
        <w:t>绩效目标</w:t>
      </w:r>
      <w:r>
        <w:rPr>
          <w:rFonts w:hint="eastAsia" w:ascii="仿宋" w:hAnsi="仿宋" w:eastAsia="仿宋"/>
          <w:bCs/>
          <w:kern w:val="44"/>
          <w:sz w:val="32"/>
          <w:szCs w:val="32"/>
          <w:lang w:val="en-US" w:eastAsia="zh-CN"/>
        </w:rPr>
        <w:t>表</w:t>
      </w:r>
      <w:r>
        <w:rPr>
          <w:rFonts w:hint="eastAsia" w:ascii="仿宋" w:hAnsi="仿宋" w:eastAsia="仿宋"/>
          <w:bCs/>
          <w:kern w:val="44"/>
          <w:sz w:val="32"/>
          <w:szCs w:val="32"/>
          <w:lang w:eastAsia="zh-CN"/>
        </w:rPr>
        <w:t xml:space="preserve">”。   </w:t>
      </w:r>
      <w:r>
        <w:rPr>
          <w:rFonts w:hint="eastAsia" w:ascii="仿宋" w:hAnsi="仿宋" w:eastAsia="仿宋"/>
          <w:b/>
          <w:kern w:val="44"/>
          <w:sz w:val="28"/>
          <w:szCs w:val="28"/>
        </w:rPr>
        <w:t xml:space="preserve">    </w:t>
      </w:r>
    </w:p>
    <w:p w14:paraId="2104B0FA">
      <w:pPr>
        <w:pStyle w:val="4"/>
        <w:spacing w:before="156" w:beforeLines="50" w:after="156" w:afterLines="50" w:line="416" w:lineRule="atLeast"/>
        <w:ind w:firstLine="640" w:firstLineChars="200"/>
        <w:jc w:val="left"/>
        <w:rPr>
          <w:rFonts w:hint="eastAsia" w:ascii="黑体" w:hAnsi="黑体" w:eastAsia="黑体" w:cs="黑体"/>
          <w:b w:val="0"/>
          <w:bCs w:val="0"/>
          <w:szCs w:val="28"/>
        </w:rPr>
      </w:pPr>
      <w:r>
        <w:rPr>
          <w:rFonts w:hint="eastAsia" w:ascii="黑体" w:hAnsi="黑体" w:eastAsia="黑体" w:cs="黑体"/>
          <w:b w:val="0"/>
          <w:bCs w:val="0"/>
          <w:szCs w:val="28"/>
        </w:rPr>
        <w:t>二、绩效情况分析</w:t>
      </w:r>
    </w:p>
    <w:p w14:paraId="6BFA07E2">
      <w:pPr>
        <w:pStyle w:val="41"/>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（一）资金投入情况分析</w:t>
      </w:r>
    </w:p>
    <w:p w14:paraId="58AA0FC9">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1.项目资金到位情况</w:t>
      </w:r>
    </w:p>
    <w:p w14:paraId="20296AFF">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截至2024年12月31日，本项目到位资金13843万元，资金到位率100%。其中，到位的中央转移支付11045万元，资金到位率100%；到位的地方财政配套资金2798万元，资金到位率100%。</w:t>
      </w:r>
    </w:p>
    <w:p w14:paraId="1FE16764">
      <w:pPr>
        <w:pStyle w:val="11"/>
        <w:spacing w:line="560" w:lineRule="exact"/>
        <w:ind w:firstLine="2249" w:firstLineChars="800"/>
        <w:jc w:val="both"/>
        <w:rPr>
          <w:rFonts w:ascii="仿宋" w:hAnsi="仿宋" w:eastAsia="仿宋"/>
          <w:b/>
          <w:kern w:val="44"/>
          <w:szCs w:val="28"/>
        </w:rPr>
      </w:pPr>
      <w:r>
        <w:rPr>
          <w:rFonts w:hint="eastAsia" w:ascii="仿宋" w:hAnsi="仿宋" w:eastAsia="仿宋"/>
          <w:b/>
          <w:kern w:val="44"/>
          <w:szCs w:val="28"/>
        </w:rPr>
        <w:t>表</w:t>
      </w:r>
      <w:r>
        <w:rPr>
          <w:rFonts w:hint="eastAsia" w:ascii="仿宋" w:hAnsi="仿宋" w:eastAsia="仿宋"/>
          <w:b/>
          <w:kern w:val="44"/>
          <w:szCs w:val="28"/>
          <w:lang w:val="en-US" w:eastAsia="zh-CN"/>
        </w:rPr>
        <w:t>3</w:t>
      </w:r>
      <w:r>
        <w:rPr>
          <w:rFonts w:hint="eastAsia" w:ascii="仿宋" w:hAnsi="仿宋" w:eastAsia="仿宋"/>
          <w:b/>
          <w:kern w:val="44"/>
          <w:szCs w:val="28"/>
        </w:rPr>
        <w:t xml:space="preserve"> </w:t>
      </w:r>
      <w:r>
        <w:rPr>
          <w:rFonts w:hint="eastAsia" w:ascii="仿宋" w:hAnsi="仿宋" w:eastAsia="仿宋"/>
          <w:b/>
          <w:kern w:val="44"/>
          <w:szCs w:val="28"/>
          <w:lang w:val="en-US" w:eastAsia="zh-CN"/>
        </w:rPr>
        <w:t xml:space="preserve"> 截至2024年12月31日到位资金</w:t>
      </w:r>
      <w:r>
        <w:rPr>
          <w:rFonts w:hint="eastAsia" w:ascii="仿宋" w:hAnsi="仿宋" w:eastAsia="仿宋"/>
          <w:b/>
          <w:kern w:val="44"/>
          <w:szCs w:val="28"/>
        </w:rPr>
        <w:t>明细</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49"/>
        <w:gridCol w:w="1260"/>
        <w:gridCol w:w="975"/>
        <w:gridCol w:w="1065"/>
        <w:gridCol w:w="960"/>
        <w:gridCol w:w="1050"/>
        <w:gridCol w:w="1169"/>
      </w:tblGrid>
      <w:tr w14:paraId="0DCFB1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trPr>
        <w:tc>
          <w:tcPr>
            <w:tcW w:w="3149" w:type="dxa"/>
            <w:vMerge w:val="restart"/>
            <w:shd w:val="clear" w:color="auto" w:fill="F1F1F1" w:themeFill="background1" w:themeFillShade="F2"/>
            <w:vAlign w:val="center"/>
          </w:tcPr>
          <w:p w14:paraId="4F58914D">
            <w:pPr>
              <w:pStyle w:val="11"/>
              <w:spacing w:line="312" w:lineRule="auto"/>
              <w:ind w:firstLine="0" w:firstLineChars="0"/>
              <w:jc w:val="center"/>
              <w:rPr>
                <w:rFonts w:ascii="仿宋" w:hAnsi="仿宋" w:eastAsia="仿宋"/>
                <w:b/>
                <w:kern w:val="44"/>
                <w:sz w:val="21"/>
                <w:szCs w:val="21"/>
              </w:rPr>
            </w:pPr>
            <w:r>
              <w:rPr>
                <w:rFonts w:hint="eastAsia" w:ascii="仿宋" w:hAnsi="仿宋" w:eastAsia="仿宋"/>
                <w:b/>
                <w:kern w:val="44"/>
                <w:sz w:val="21"/>
                <w:szCs w:val="21"/>
              </w:rPr>
              <w:t>灾种类型</w:t>
            </w:r>
          </w:p>
        </w:tc>
        <w:tc>
          <w:tcPr>
            <w:tcW w:w="3300" w:type="dxa"/>
            <w:gridSpan w:val="3"/>
            <w:shd w:val="clear" w:color="auto" w:fill="F1F1F1" w:themeFill="background1" w:themeFillShade="F2"/>
            <w:vAlign w:val="center"/>
          </w:tcPr>
          <w:p w14:paraId="6CA85C0D">
            <w:pPr>
              <w:pStyle w:val="11"/>
              <w:spacing w:line="312" w:lineRule="auto"/>
              <w:ind w:firstLine="0" w:firstLineChars="0"/>
              <w:jc w:val="center"/>
              <w:rPr>
                <w:rFonts w:ascii="仿宋" w:hAnsi="仿宋" w:eastAsia="仿宋"/>
                <w:b/>
                <w:kern w:val="44"/>
                <w:sz w:val="21"/>
                <w:szCs w:val="21"/>
              </w:rPr>
            </w:pPr>
            <w:r>
              <w:rPr>
                <w:rFonts w:hint="eastAsia" w:ascii="仿宋" w:hAnsi="仿宋" w:eastAsia="仿宋"/>
                <w:b/>
                <w:kern w:val="44"/>
                <w:sz w:val="21"/>
                <w:szCs w:val="21"/>
                <w:lang w:val="en-US" w:eastAsia="zh-CN"/>
              </w:rPr>
              <w:t>项目预算资金（万元）</w:t>
            </w:r>
          </w:p>
        </w:tc>
        <w:tc>
          <w:tcPr>
            <w:tcW w:w="3179" w:type="dxa"/>
            <w:gridSpan w:val="3"/>
            <w:shd w:val="clear" w:color="auto" w:fill="F1F1F1" w:themeFill="background1" w:themeFillShade="F2"/>
            <w:vAlign w:val="center"/>
          </w:tcPr>
          <w:p w14:paraId="60D75D52">
            <w:pPr>
              <w:pStyle w:val="11"/>
              <w:spacing w:line="312" w:lineRule="auto"/>
              <w:ind w:firstLine="0" w:firstLineChars="0"/>
              <w:jc w:val="center"/>
              <w:rPr>
                <w:rFonts w:hint="default" w:ascii="仿宋" w:hAnsi="仿宋" w:eastAsia="仿宋"/>
                <w:b/>
                <w:kern w:val="44"/>
                <w:sz w:val="21"/>
                <w:szCs w:val="21"/>
                <w:lang w:val="en-US"/>
              </w:rPr>
            </w:pPr>
            <w:r>
              <w:rPr>
                <w:rFonts w:hint="eastAsia" w:ascii="仿宋" w:hAnsi="仿宋" w:eastAsia="仿宋"/>
                <w:b/>
                <w:kern w:val="44"/>
                <w:sz w:val="21"/>
                <w:szCs w:val="21"/>
                <w:lang w:val="en-US" w:eastAsia="zh-CN"/>
              </w:rPr>
              <w:t>实际到位资金（万元）</w:t>
            </w:r>
          </w:p>
        </w:tc>
      </w:tr>
      <w:tr w14:paraId="002C32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3" w:hRule="atLeast"/>
        </w:trPr>
        <w:tc>
          <w:tcPr>
            <w:tcW w:w="3149" w:type="dxa"/>
            <w:vMerge w:val="continue"/>
            <w:shd w:val="clear" w:color="auto" w:fill="F1F1F1" w:themeFill="background1" w:themeFillShade="F2"/>
            <w:vAlign w:val="center"/>
          </w:tcPr>
          <w:p w14:paraId="143939F1">
            <w:pPr>
              <w:pStyle w:val="11"/>
              <w:spacing w:line="312" w:lineRule="auto"/>
              <w:ind w:firstLine="0" w:firstLineChars="0"/>
              <w:jc w:val="center"/>
              <w:rPr>
                <w:rFonts w:hint="eastAsia" w:ascii="仿宋" w:hAnsi="仿宋" w:eastAsia="仿宋"/>
                <w:b/>
                <w:kern w:val="44"/>
                <w:sz w:val="21"/>
                <w:szCs w:val="21"/>
              </w:rPr>
            </w:pPr>
          </w:p>
        </w:tc>
        <w:tc>
          <w:tcPr>
            <w:tcW w:w="1260" w:type="dxa"/>
            <w:shd w:val="clear" w:color="auto" w:fill="F1F1F1" w:themeFill="background1" w:themeFillShade="F2"/>
            <w:vAlign w:val="center"/>
          </w:tcPr>
          <w:p w14:paraId="6D295745">
            <w:pPr>
              <w:pStyle w:val="11"/>
              <w:spacing w:line="312" w:lineRule="auto"/>
              <w:ind w:firstLine="0" w:firstLineChars="0"/>
              <w:jc w:val="center"/>
              <w:rPr>
                <w:rFonts w:hint="eastAsia" w:ascii="仿宋" w:hAnsi="仿宋" w:eastAsia="仿宋" w:cs="Times New Roman"/>
                <w:b/>
                <w:bCs/>
                <w:kern w:val="44"/>
                <w:sz w:val="21"/>
                <w:szCs w:val="21"/>
                <w:lang w:val="en-US" w:eastAsia="zh-CN" w:bidi="ar-SA"/>
              </w:rPr>
            </w:pPr>
            <w:r>
              <w:rPr>
                <w:rFonts w:hint="eastAsia" w:ascii="仿宋" w:hAnsi="仿宋" w:eastAsia="仿宋"/>
                <w:b/>
                <w:kern w:val="44"/>
                <w:sz w:val="21"/>
                <w:szCs w:val="21"/>
              </w:rPr>
              <w:t>中央转移支付</w:t>
            </w:r>
          </w:p>
        </w:tc>
        <w:tc>
          <w:tcPr>
            <w:tcW w:w="975" w:type="dxa"/>
            <w:shd w:val="clear" w:color="auto" w:fill="F1F1F1" w:themeFill="background1" w:themeFillShade="F2"/>
            <w:vAlign w:val="center"/>
          </w:tcPr>
          <w:p w14:paraId="6BE894BB">
            <w:pPr>
              <w:pStyle w:val="11"/>
              <w:spacing w:line="312" w:lineRule="auto"/>
              <w:ind w:firstLine="0" w:firstLineChars="0"/>
              <w:jc w:val="center"/>
              <w:rPr>
                <w:rFonts w:hint="eastAsia" w:ascii="仿宋" w:hAnsi="仿宋" w:eastAsia="仿宋" w:cs="Times New Roman"/>
                <w:b/>
                <w:bCs/>
                <w:kern w:val="44"/>
                <w:sz w:val="21"/>
                <w:szCs w:val="21"/>
                <w:lang w:val="en-US" w:eastAsia="zh-CN" w:bidi="ar-SA"/>
              </w:rPr>
            </w:pPr>
            <w:r>
              <w:rPr>
                <w:rFonts w:hint="eastAsia" w:ascii="仿宋" w:hAnsi="仿宋" w:eastAsia="仿宋"/>
                <w:b/>
                <w:kern w:val="44"/>
                <w:sz w:val="21"/>
                <w:szCs w:val="21"/>
                <w:lang w:val="en-US" w:eastAsia="zh-CN"/>
              </w:rPr>
              <w:t>地方</w:t>
            </w:r>
            <w:r>
              <w:rPr>
                <w:rFonts w:hint="eastAsia" w:ascii="仿宋" w:hAnsi="仿宋" w:eastAsia="仿宋"/>
                <w:b/>
                <w:kern w:val="44"/>
                <w:sz w:val="21"/>
                <w:szCs w:val="21"/>
              </w:rPr>
              <w:t>财政资金</w:t>
            </w:r>
          </w:p>
        </w:tc>
        <w:tc>
          <w:tcPr>
            <w:tcW w:w="1065" w:type="dxa"/>
            <w:shd w:val="clear" w:color="auto" w:fill="F1F1F1" w:themeFill="background1" w:themeFillShade="F2"/>
            <w:vAlign w:val="center"/>
          </w:tcPr>
          <w:p w14:paraId="34D08E77">
            <w:pPr>
              <w:pStyle w:val="11"/>
              <w:spacing w:line="312" w:lineRule="auto"/>
              <w:ind w:firstLine="0" w:firstLineChars="0"/>
              <w:jc w:val="center"/>
              <w:rPr>
                <w:rFonts w:hint="eastAsia" w:ascii="仿宋" w:hAnsi="仿宋" w:eastAsia="仿宋" w:cs="Times New Roman"/>
                <w:b/>
                <w:bCs/>
                <w:kern w:val="44"/>
                <w:sz w:val="21"/>
                <w:szCs w:val="21"/>
                <w:lang w:val="en-US" w:eastAsia="zh-CN" w:bidi="ar-SA"/>
              </w:rPr>
            </w:pPr>
            <w:r>
              <w:rPr>
                <w:rFonts w:hint="eastAsia" w:ascii="仿宋" w:hAnsi="仿宋" w:eastAsia="仿宋"/>
                <w:b/>
                <w:kern w:val="44"/>
                <w:sz w:val="21"/>
                <w:szCs w:val="21"/>
              </w:rPr>
              <w:t>合计</w:t>
            </w:r>
          </w:p>
        </w:tc>
        <w:tc>
          <w:tcPr>
            <w:tcW w:w="960" w:type="dxa"/>
            <w:shd w:val="clear" w:color="auto" w:fill="F1F1F1" w:themeFill="background1" w:themeFillShade="F2"/>
            <w:vAlign w:val="center"/>
          </w:tcPr>
          <w:p w14:paraId="1705B9D3">
            <w:pPr>
              <w:pStyle w:val="11"/>
              <w:spacing w:line="312" w:lineRule="auto"/>
              <w:ind w:firstLine="0" w:firstLineChars="0"/>
              <w:jc w:val="center"/>
              <w:rPr>
                <w:rFonts w:hint="eastAsia" w:ascii="仿宋" w:hAnsi="仿宋" w:eastAsia="仿宋" w:cs="Times New Roman"/>
                <w:b/>
                <w:bCs/>
                <w:kern w:val="44"/>
                <w:sz w:val="21"/>
                <w:szCs w:val="21"/>
                <w:lang w:val="en-US" w:eastAsia="zh-CN" w:bidi="ar-SA"/>
              </w:rPr>
            </w:pPr>
            <w:r>
              <w:rPr>
                <w:rFonts w:hint="eastAsia" w:ascii="仿宋" w:hAnsi="仿宋" w:eastAsia="仿宋"/>
                <w:b/>
                <w:kern w:val="44"/>
                <w:sz w:val="21"/>
                <w:szCs w:val="21"/>
                <w:lang w:val="en-US" w:eastAsia="zh-CN"/>
              </w:rPr>
              <w:t>中央转移支付</w:t>
            </w:r>
          </w:p>
        </w:tc>
        <w:tc>
          <w:tcPr>
            <w:tcW w:w="1050" w:type="dxa"/>
            <w:shd w:val="clear" w:color="auto" w:fill="F1F1F1" w:themeFill="background1" w:themeFillShade="F2"/>
            <w:vAlign w:val="center"/>
          </w:tcPr>
          <w:p w14:paraId="468D91D4">
            <w:pPr>
              <w:pStyle w:val="11"/>
              <w:spacing w:line="312" w:lineRule="auto"/>
              <w:ind w:firstLine="0" w:firstLineChars="0"/>
              <w:jc w:val="center"/>
              <w:rPr>
                <w:rFonts w:hint="eastAsia" w:ascii="仿宋" w:hAnsi="仿宋" w:eastAsia="仿宋" w:cs="Times New Roman"/>
                <w:b/>
                <w:bCs/>
                <w:kern w:val="44"/>
                <w:sz w:val="21"/>
                <w:szCs w:val="21"/>
                <w:lang w:val="en-US" w:eastAsia="zh-CN" w:bidi="ar-SA"/>
              </w:rPr>
            </w:pPr>
            <w:r>
              <w:rPr>
                <w:rFonts w:hint="eastAsia" w:ascii="仿宋" w:hAnsi="仿宋" w:eastAsia="仿宋"/>
                <w:b/>
                <w:kern w:val="44"/>
                <w:sz w:val="21"/>
                <w:szCs w:val="21"/>
                <w:lang w:val="en-US" w:eastAsia="zh-CN"/>
              </w:rPr>
              <w:t>地方财政资金</w:t>
            </w:r>
          </w:p>
        </w:tc>
        <w:tc>
          <w:tcPr>
            <w:tcW w:w="1169" w:type="dxa"/>
            <w:shd w:val="clear" w:color="auto" w:fill="F1F1F1" w:themeFill="background1" w:themeFillShade="F2"/>
            <w:vAlign w:val="center"/>
          </w:tcPr>
          <w:p w14:paraId="747BB478">
            <w:pPr>
              <w:pStyle w:val="11"/>
              <w:spacing w:line="312" w:lineRule="auto"/>
              <w:ind w:firstLine="0" w:firstLineChars="0"/>
              <w:jc w:val="center"/>
              <w:rPr>
                <w:rFonts w:hint="default" w:ascii="仿宋" w:hAnsi="仿宋" w:eastAsia="仿宋" w:cs="Times New Roman"/>
                <w:b/>
                <w:bCs/>
                <w:kern w:val="44"/>
                <w:sz w:val="21"/>
                <w:szCs w:val="21"/>
                <w:lang w:val="en-US" w:eastAsia="zh-CN" w:bidi="ar-SA"/>
              </w:rPr>
            </w:pPr>
            <w:r>
              <w:rPr>
                <w:rFonts w:hint="eastAsia" w:ascii="仿宋" w:hAnsi="仿宋" w:eastAsia="仿宋"/>
                <w:b/>
                <w:kern w:val="44"/>
                <w:sz w:val="21"/>
                <w:szCs w:val="21"/>
                <w:lang w:val="en-US" w:eastAsia="zh-CN"/>
              </w:rPr>
              <w:t>合计</w:t>
            </w:r>
          </w:p>
        </w:tc>
      </w:tr>
      <w:tr w14:paraId="48B4E3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0" w:hRule="atLeast"/>
        </w:trPr>
        <w:tc>
          <w:tcPr>
            <w:tcW w:w="3149" w:type="dxa"/>
            <w:vAlign w:val="center"/>
          </w:tcPr>
          <w:p w14:paraId="7E8F5A32">
            <w:pPr>
              <w:pStyle w:val="11"/>
              <w:spacing w:line="312" w:lineRule="auto"/>
              <w:ind w:firstLine="0" w:firstLineChars="0"/>
              <w:jc w:val="center"/>
              <w:rPr>
                <w:rFonts w:ascii="仿宋" w:hAnsi="仿宋" w:eastAsia="仿宋"/>
                <w:b/>
                <w:kern w:val="44"/>
                <w:sz w:val="21"/>
                <w:szCs w:val="21"/>
              </w:rPr>
            </w:pPr>
            <w:r>
              <w:rPr>
                <w:rFonts w:hint="eastAsia" w:ascii="仿宋" w:hAnsi="仿宋" w:eastAsia="仿宋"/>
                <w:b/>
                <w:kern w:val="44"/>
                <w:sz w:val="21"/>
                <w:szCs w:val="21"/>
              </w:rPr>
              <w:t>合计</w:t>
            </w:r>
          </w:p>
        </w:tc>
        <w:tc>
          <w:tcPr>
            <w:tcW w:w="1260" w:type="dxa"/>
            <w:vAlign w:val="center"/>
          </w:tcPr>
          <w:p w14:paraId="6990546A">
            <w:pPr>
              <w:pStyle w:val="11"/>
              <w:spacing w:line="312" w:lineRule="auto"/>
              <w:ind w:firstLine="0" w:firstLineChars="0"/>
              <w:jc w:val="center"/>
              <w:rPr>
                <w:rFonts w:hint="default" w:ascii="仿宋" w:hAnsi="仿宋" w:eastAsia="仿宋"/>
                <w:b/>
                <w:kern w:val="44"/>
                <w:sz w:val="21"/>
                <w:szCs w:val="21"/>
                <w:lang w:val="en-US" w:eastAsia="zh-CN"/>
              </w:rPr>
            </w:pPr>
            <w:r>
              <w:rPr>
                <w:rFonts w:hint="eastAsia" w:ascii="仿宋" w:hAnsi="仿宋" w:eastAsia="仿宋"/>
                <w:b/>
                <w:kern w:val="44"/>
                <w:sz w:val="21"/>
                <w:szCs w:val="21"/>
                <w:lang w:val="en-US" w:eastAsia="zh-CN"/>
              </w:rPr>
              <w:t>11045</w:t>
            </w:r>
          </w:p>
        </w:tc>
        <w:tc>
          <w:tcPr>
            <w:tcW w:w="975" w:type="dxa"/>
            <w:vAlign w:val="center"/>
          </w:tcPr>
          <w:p w14:paraId="251791CF">
            <w:pPr>
              <w:pStyle w:val="11"/>
              <w:spacing w:line="312" w:lineRule="auto"/>
              <w:ind w:firstLine="0" w:firstLineChars="0"/>
              <w:jc w:val="center"/>
              <w:rPr>
                <w:rFonts w:hint="default" w:ascii="仿宋" w:hAnsi="仿宋" w:eastAsia="仿宋"/>
                <w:b/>
                <w:kern w:val="44"/>
                <w:sz w:val="21"/>
                <w:szCs w:val="21"/>
                <w:lang w:val="en-US" w:eastAsia="zh-CN"/>
              </w:rPr>
            </w:pPr>
            <w:r>
              <w:rPr>
                <w:rFonts w:hint="eastAsia" w:ascii="仿宋" w:hAnsi="仿宋" w:eastAsia="仿宋"/>
                <w:b/>
                <w:kern w:val="44"/>
                <w:sz w:val="21"/>
                <w:szCs w:val="21"/>
                <w:lang w:val="en-US" w:eastAsia="zh-CN"/>
              </w:rPr>
              <w:t>2798</w:t>
            </w:r>
          </w:p>
        </w:tc>
        <w:tc>
          <w:tcPr>
            <w:tcW w:w="1065" w:type="dxa"/>
            <w:vAlign w:val="center"/>
          </w:tcPr>
          <w:p w14:paraId="6876BAF4">
            <w:pPr>
              <w:pStyle w:val="11"/>
              <w:spacing w:line="312" w:lineRule="auto"/>
              <w:ind w:firstLine="0" w:firstLineChars="0"/>
              <w:jc w:val="center"/>
              <w:rPr>
                <w:rFonts w:hint="default" w:ascii="仿宋" w:hAnsi="仿宋" w:eastAsia="仿宋"/>
                <w:b/>
                <w:kern w:val="44"/>
                <w:sz w:val="21"/>
                <w:szCs w:val="21"/>
                <w:lang w:val="en-US" w:eastAsia="zh-CN"/>
              </w:rPr>
            </w:pPr>
            <w:r>
              <w:rPr>
                <w:rFonts w:hint="eastAsia" w:ascii="仿宋" w:hAnsi="仿宋" w:eastAsia="仿宋"/>
                <w:b/>
                <w:kern w:val="44"/>
                <w:sz w:val="21"/>
                <w:szCs w:val="21"/>
                <w:lang w:val="en-US" w:eastAsia="zh-CN"/>
              </w:rPr>
              <w:t>13843</w:t>
            </w:r>
          </w:p>
        </w:tc>
        <w:tc>
          <w:tcPr>
            <w:tcW w:w="960" w:type="dxa"/>
            <w:vAlign w:val="center"/>
          </w:tcPr>
          <w:p w14:paraId="3707CB1C">
            <w:pPr>
              <w:pStyle w:val="11"/>
              <w:spacing w:line="312" w:lineRule="auto"/>
              <w:ind w:firstLine="0" w:firstLineChars="0"/>
              <w:jc w:val="center"/>
              <w:rPr>
                <w:rFonts w:hint="default" w:ascii="仿宋" w:hAnsi="仿宋" w:eastAsia="仿宋"/>
                <w:b/>
                <w:kern w:val="44"/>
                <w:sz w:val="21"/>
                <w:szCs w:val="21"/>
                <w:lang w:val="en-US" w:eastAsia="zh-CN"/>
              </w:rPr>
            </w:pPr>
            <w:r>
              <w:rPr>
                <w:rFonts w:hint="eastAsia" w:ascii="仿宋" w:hAnsi="仿宋" w:eastAsia="仿宋"/>
                <w:b/>
                <w:kern w:val="44"/>
                <w:sz w:val="21"/>
                <w:szCs w:val="21"/>
                <w:lang w:val="en-US" w:eastAsia="zh-CN"/>
              </w:rPr>
              <w:t>11045</w:t>
            </w:r>
          </w:p>
        </w:tc>
        <w:tc>
          <w:tcPr>
            <w:tcW w:w="1050" w:type="dxa"/>
            <w:vAlign w:val="center"/>
          </w:tcPr>
          <w:p w14:paraId="2E0550ED">
            <w:pPr>
              <w:pStyle w:val="11"/>
              <w:spacing w:line="312" w:lineRule="auto"/>
              <w:ind w:firstLine="0" w:firstLineChars="0"/>
              <w:jc w:val="center"/>
              <w:rPr>
                <w:rFonts w:hint="default" w:ascii="仿宋" w:hAnsi="仿宋" w:eastAsia="仿宋"/>
                <w:b/>
                <w:kern w:val="44"/>
                <w:sz w:val="21"/>
                <w:szCs w:val="21"/>
                <w:lang w:val="en-US" w:eastAsia="zh-CN"/>
              </w:rPr>
            </w:pPr>
            <w:r>
              <w:rPr>
                <w:rFonts w:hint="eastAsia" w:ascii="仿宋" w:hAnsi="仿宋" w:eastAsia="仿宋"/>
                <w:b/>
                <w:kern w:val="44"/>
                <w:sz w:val="21"/>
                <w:szCs w:val="21"/>
                <w:lang w:val="en-US" w:eastAsia="zh-CN"/>
              </w:rPr>
              <w:t>2798</w:t>
            </w:r>
          </w:p>
        </w:tc>
        <w:tc>
          <w:tcPr>
            <w:tcW w:w="1169" w:type="dxa"/>
            <w:vAlign w:val="center"/>
          </w:tcPr>
          <w:p w14:paraId="343EB430">
            <w:pPr>
              <w:pStyle w:val="11"/>
              <w:spacing w:line="312" w:lineRule="auto"/>
              <w:ind w:firstLine="0" w:firstLineChars="0"/>
              <w:jc w:val="center"/>
              <w:rPr>
                <w:rFonts w:hint="default" w:ascii="仿宋" w:hAnsi="仿宋" w:eastAsia="仿宋"/>
                <w:b/>
                <w:kern w:val="44"/>
                <w:sz w:val="21"/>
                <w:szCs w:val="21"/>
                <w:lang w:val="en-US" w:eastAsia="zh-CN"/>
              </w:rPr>
            </w:pPr>
            <w:r>
              <w:rPr>
                <w:rFonts w:hint="eastAsia" w:ascii="仿宋" w:hAnsi="仿宋" w:eastAsia="仿宋"/>
                <w:b/>
                <w:kern w:val="44"/>
                <w:sz w:val="21"/>
                <w:szCs w:val="21"/>
                <w:lang w:val="en-US" w:eastAsia="zh-CN"/>
              </w:rPr>
              <w:t>13843</w:t>
            </w:r>
          </w:p>
        </w:tc>
      </w:tr>
      <w:tr w14:paraId="624E8E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trPr>
        <w:tc>
          <w:tcPr>
            <w:tcW w:w="3149" w:type="dxa"/>
            <w:vAlign w:val="center"/>
          </w:tcPr>
          <w:p w14:paraId="637C3D71">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ascii="仿宋" w:hAnsi="仿宋" w:eastAsia="仿宋"/>
                <w:kern w:val="44"/>
                <w:sz w:val="21"/>
                <w:szCs w:val="21"/>
              </w:rPr>
            </w:pPr>
            <w:r>
              <w:rPr>
                <w:rFonts w:hint="eastAsia" w:ascii="仿宋" w:hAnsi="仿宋" w:eastAsia="仿宋" w:cs="Times New Roman"/>
                <w:b/>
                <w:bCs/>
                <w:color w:val="auto"/>
                <w:kern w:val="44"/>
                <w:sz w:val="18"/>
                <w:szCs w:val="18"/>
                <w:lang w:val="en-US" w:eastAsia="zh-CN" w:bidi="ar-SA"/>
              </w:rPr>
              <w:t>煤矿及重点非煤矿山重大灾害风险防控</w:t>
            </w:r>
          </w:p>
        </w:tc>
        <w:tc>
          <w:tcPr>
            <w:tcW w:w="1260" w:type="dxa"/>
            <w:vAlign w:val="center"/>
          </w:tcPr>
          <w:p w14:paraId="66E973B6">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5706</w:t>
            </w:r>
          </w:p>
        </w:tc>
        <w:tc>
          <w:tcPr>
            <w:tcW w:w="975" w:type="dxa"/>
            <w:vAlign w:val="center"/>
          </w:tcPr>
          <w:p w14:paraId="7A84A7BC">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w:t>
            </w:r>
          </w:p>
        </w:tc>
        <w:tc>
          <w:tcPr>
            <w:tcW w:w="1065" w:type="dxa"/>
            <w:vAlign w:val="center"/>
          </w:tcPr>
          <w:p w14:paraId="7130A44E">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5706</w:t>
            </w:r>
          </w:p>
        </w:tc>
        <w:tc>
          <w:tcPr>
            <w:tcW w:w="960" w:type="dxa"/>
            <w:vAlign w:val="center"/>
          </w:tcPr>
          <w:p w14:paraId="30148996">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5706</w:t>
            </w:r>
          </w:p>
        </w:tc>
        <w:tc>
          <w:tcPr>
            <w:tcW w:w="1050" w:type="dxa"/>
            <w:vAlign w:val="center"/>
          </w:tcPr>
          <w:p w14:paraId="1B736FA7">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w:t>
            </w:r>
          </w:p>
        </w:tc>
        <w:tc>
          <w:tcPr>
            <w:tcW w:w="1169" w:type="dxa"/>
            <w:vAlign w:val="center"/>
          </w:tcPr>
          <w:p w14:paraId="70F4393F">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5706</w:t>
            </w:r>
          </w:p>
        </w:tc>
      </w:tr>
      <w:tr w14:paraId="705FBF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5" w:hRule="atLeast"/>
        </w:trPr>
        <w:tc>
          <w:tcPr>
            <w:tcW w:w="3149" w:type="dxa"/>
            <w:vAlign w:val="center"/>
          </w:tcPr>
          <w:p w14:paraId="52EE4D2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ascii="仿宋" w:hAnsi="仿宋" w:eastAsia="仿宋"/>
                <w:kern w:val="44"/>
                <w:sz w:val="21"/>
                <w:szCs w:val="21"/>
              </w:rPr>
            </w:pPr>
            <w:r>
              <w:rPr>
                <w:rFonts w:hint="eastAsia" w:ascii="仿宋" w:hAnsi="仿宋" w:eastAsia="仿宋" w:cs="Times New Roman"/>
                <w:b/>
                <w:bCs/>
                <w:color w:val="auto"/>
                <w:kern w:val="44"/>
                <w:sz w:val="18"/>
                <w:szCs w:val="18"/>
                <w:lang w:val="en-US" w:eastAsia="zh-CN" w:bidi="ar-SA"/>
              </w:rPr>
              <w:t>尾矿库风险隐患治理</w:t>
            </w:r>
          </w:p>
        </w:tc>
        <w:tc>
          <w:tcPr>
            <w:tcW w:w="1260" w:type="dxa"/>
            <w:vAlign w:val="center"/>
          </w:tcPr>
          <w:p w14:paraId="5F97BC45">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1455</w:t>
            </w:r>
          </w:p>
        </w:tc>
        <w:tc>
          <w:tcPr>
            <w:tcW w:w="975" w:type="dxa"/>
            <w:vAlign w:val="center"/>
          </w:tcPr>
          <w:p w14:paraId="7701BB89">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1455</w:t>
            </w:r>
          </w:p>
        </w:tc>
        <w:tc>
          <w:tcPr>
            <w:tcW w:w="1065" w:type="dxa"/>
            <w:vAlign w:val="center"/>
          </w:tcPr>
          <w:p w14:paraId="20C554B7">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2910</w:t>
            </w:r>
          </w:p>
        </w:tc>
        <w:tc>
          <w:tcPr>
            <w:tcW w:w="960" w:type="dxa"/>
            <w:vAlign w:val="center"/>
          </w:tcPr>
          <w:p w14:paraId="310DC109">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1455</w:t>
            </w:r>
          </w:p>
        </w:tc>
        <w:tc>
          <w:tcPr>
            <w:tcW w:w="1050" w:type="dxa"/>
            <w:vAlign w:val="center"/>
          </w:tcPr>
          <w:p w14:paraId="45BB89EF">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1455</w:t>
            </w:r>
          </w:p>
        </w:tc>
        <w:tc>
          <w:tcPr>
            <w:tcW w:w="1169" w:type="dxa"/>
            <w:vAlign w:val="center"/>
          </w:tcPr>
          <w:p w14:paraId="7523115F">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2910</w:t>
            </w:r>
          </w:p>
        </w:tc>
      </w:tr>
      <w:tr w14:paraId="5E4DA6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atLeast"/>
        </w:trPr>
        <w:tc>
          <w:tcPr>
            <w:tcW w:w="3149" w:type="dxa"/>
            <w:vAlign w:val="center"/>
          </w:tcPr>
          <w:p w14:paraId="52973646">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ascii="仿宋" w:hAnsi="仿宋" w:eastAsia="仿宋"/>
                <w:kern w:val="44"/>
                <w:sz w:val="21"/>
                <w:szCs w:val="21"/>
              </w:rPr>
            </w:pPr>
            <w:r>
              <w:rPr>
                <w:rFonts w:hint="eastAsia" w:ascii="仿宋" w:hAnsi="仿宋" w:eastAsia="仿宋" w:cs="Times New Roman"/>
                <w:b/>
                <w:bCs/>
                <w:color w:val="auto"/>
                <w:kern w:val="44"/>
                <w:sz w:val="18"/>
                <w:szCs w:val="18"/>
                <w:lang w:val="en-US" w:eastAsia="zh-CN" w:bidi="ar-SA"/>
              </w:rPr>
              <w:t>安全生产应急救援力量建设</w:t>
            </w:r>
          </w:p>
        </w:tc>
        <w:tc>
          <w:tcPr>
            <w:tcW w:w="1260" w:type="dxa"/>
            <w:vAlign w:val="center"/>
          </w:tcPr>
          <w:p w14:paraId="6AD5E935">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3039</w:t>
            </w:r>
          </w:p>
        </w:tc>
        <w:tc>
          <w:tcPr>
            <w:tcW w:w="975" w:type="dxa"/>
            <w:vAlign w:val="center"/>
          </w:tcPr>
          <w:p w14:paraId="31FF595D">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w:t>
            </w:r>
          </w:p>
        </w:tc>
        <w:tc>
          <w:tcPr>
            <w:tcW w:w="1065" w:type="dxa"/>
            <w:vAlign w:val="center"/>
          </w:tcPr>
          <w:p w14:paraId="23F5A9C6">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3039</w:t>
            </w:r>
          </w:p>
        </w:tc>
        <w:tc>
          <w:tcPr>
            <w:tcW w:w="960" w:type="dxa"/>
            <w:vAlign w:val="center"/>
          </w:tcPr>
          <w:p w14:paraId="37F9F21C">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3039</w:t>
            </w:r>
          </w:p>
        </w:tc>
        <w:tc>
          <w:tcPr>
            <w:tcW w:w="1050" w:type="dxa"/>
            <w:vAlign w:val="center"/>
          </w:tcPr>
          <w:p w14:paraId="4ACE28E0">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w:t>
            </w:r>
          </w:p>
        </w:tc>
        <w:tc>
          <w:tcPr>
            <w:tcW w:w="1169" w:type="dxa"/>
            <w:vAlign w:val="center"/>
          </w:tcPr>
          <w:p w14:paraId="15231CCD">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3039</w:t>
            </w:r>
          </w:p>
        </w:tc>
      </w:tr>
      <w:tr w14:paraId="5B8F0E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trPr>
        <w:tc>
          <w:tcPr>
            <w:tcW w:w="3149" w:type="dxa"/>
            <w:vAlign w:val="center"/>
          </w:tcPr>
          <w:p w14:paraId="0E773F98">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kern w:val="44"/>
                <w:sz w:val="21"/>
                <w:szCs w:val="21"/>
              </w:rPr>
            </w:pPr>
            <w:r>
              <w:rPr>
                <w:rFonts w:hint="eastAsia" w:ascii="仿宋" w:hAnsi="仿宋" w:eastAsia="仿宋" w:cs="Times New Roman"/>
                <w:b/>
                <w:bCs/>
                <w:color w:val="auto"/>
                <w:kern w:val="44"/>
                <w:sz w:val="18"/>
                <w:szCs w:val="18"/>
                <w:lang w:val="en-US" w:eastAsia="zh-CN" w:bidi="ar-SA"/>
              </w:rPr>
              <w:t>危险化学品重大安全风险防控</w:t>
            </w:r>
          </w:p>
        </w:tc>
        <w:tc>
          <w:tcPr>
            <w:tcW w:w="1260" w:type="dxa"/>
            <w:vAlign w:val="center"/>
          </w:tcPr>
          <w:p w14:paraId="20F0B9BD">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845</w:t>
            </w:r>
          </w:p>
        </w:tc>
        <w:tc>
          <w:tcPr>
            <w:tcW w:w="975" w:type="dxa"/>
            <w:vAlign w:val="center"/>
          </w:tcPr>
          <w:p w14:paraId="2653BAC2">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1343</w:t>
            </w:r>
          </w:p>
        </w:tc>
        <w:tc>
          <w:tcPr>
            <w:tcW w:w="1065" w:type="dxa"/>
            <w:vAlign w:val="center"/>
          </w:tcPr>
          <w:p w14:paraId="5614F404">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2188</w:t>
            </w:r>
          </w:p>
        </w:tc>
        <w:tc>
          <w:tcPr>
            <w:tcW w:w="960" w:type="dxa"/>
            <w:vAlign w:val="center"/>
          </w:tcPr>
          <w:p w14:paraId="7495D208">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845</w:t>
            </w:r>
          </w:p>
        </w:tc>
        <w:tc>
          <w:tcPr>
            <w:tcW w:w="1050" w:type="dxa"/>
            <w:vAlign w:val="center"/>
          </w:tcPr>
          <w:p w14:paraId="66E56BCF">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1343</w:t>
            </w:r>
          </w:p>
        </w:tc>
        <w:tc>
          <w:tcPr>
            <w:tcW w:w="1169" w:type="dxa"/>
            <w:vAlign w:val="center"/>
          </w:tcPr>
          <w:p w14:paraId="27A89147">
            <w:pPr>
              <w:pStyle w:val="11"/>
              <w:spacing w:line="312" w:lineRule="auto"/>
              <w:ind w:firstLine="0" w:firstLineChars="0"/>
              <w:jc w:val="center"/>
              <w:rPr>
                <w:rFonts w:hint="default" w:ascii="仿宋" w:hAnsi="仿宋" w:eastAsia="仿宋"/>
                <w:kern w:val="44"/>
                <w:sz w:val="21"/>
                <w:szCs w:val="21"/>
                <w:lang w:val="en-US" w:eastAsia="zh-CN"/>
              </w:rPr>
            </w:pPr>
            <w:r>
              <w:rPr>
                <w:rFonts w:hint="eastAsia" w:ascii="仿宋" w:hAnsi="仿宋" w:eastAsia="仿宋"/>
                <w:kern w:val="44"/>
                <w:sz w:val="21"/>
                <w:szCs w:val="21"/>
                <w:lang w:val="en-US" w:eastAsia="zh-CN"/>
              </w:rPr>
              <w:t>2188</w:t>
            </w:r>
          </w:p>
        </w:tc>
      </w:tr>
    </w:tbl>
    <w:p w14:paraId="56CB1824">
      <w:pPr>
        <w:ind w:firstLine="640" w:firstLineChars="200"/>
        <w:rPr>
          <w:rFonts w:hint="eastAsia" w:ascii="仿宋" w:hAnsi="仿宋" w:eastAsia="仿宋"/>
          <w:bCs/>
          <w:kern w:val="44"/>
          <w:sz w:val="32"/>
          <w:szCs w:val="32"/>
        </w:rPr>
      </w:pPr>
    </w:p>
    <w:p w14:paraId="36CA1668">
      <w:pPr>
        <w:pStyle w:val="4"/>
        <w:spacing w:before="0" w:after="0" w:line="240" w:lineRule="auto"/>
        <w:ind w:firstLine="643" w:firstLineChars="200"/>
        <w:rPr>
          <w:rFonts w:hint="default" w:ascii="仿宋" w:hAnsi="仿宋" w:eastAsia="仿宋" w:cs="仿宋"/>
          <w:b/>
          <w:bCs w:val="0"/>
          <w:lang w:val="en-US" w:eastAsia="zh-CN"/>
        </w:rPr>
      </w:pPr>
      <w:r>
        <w:rPr>
          <w:rFonts w:hint="eastAsia" w:ascii="仿宋" w:hAnsi="仿宋" w:eastAsia="仿宋" w:cs="仿宋"/>
          <w:b/>
          <w:bCs w:val="0"/>
          <w:lang w:val="en-US" w:eastAsia="zh-CN"/>
        </w:rPr>
        <w:t>2.项目资金执行情况</w:t>
      </w:r>
    </w:p>
    <w:p w14:paraId="5BC31F4A">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截至2024年12月31日，</w:t>
      </w:r>
      <w:r>
        <w:rPr>
          <w:rFonts w:hint="eastAsia" w:ascii="仿宋" w:hAnsi="仿宋" w:eastAsia="仿宋"/>
          <w:bCs/>
          <w:kern w:val="44"/>
          <w:sz w:val="32"/>
          <w:szCs w:val="32"/>
          <w:lang w:eastAsia="zh-CN"/>
        </w:rPr>
        <w:t>本项目预算</w:t>
      </w:r>
      <w:r>
        <w:rPr>
          <w:rFonts w:hint="eastAsia" w:ascii="仿宋" w:hAnsi="仿宋" w:eastAsia="仿宋"/>
          <w:bCs/>
          <w:kern w:val="44"/>
          <w:sz w:val="32"/>
          <w:szCs w:val="32"/>
          <w:lang w:val="en-US" w:eastAsia="zh-CN"/>
        </w:rPr>
        <w:t>安排资金13843</w:t>
      </w:r>
      <w:r>
        <w:rPr>
          <w:rFonts w:hint="eastAsia" w:ascii="仿宋" w:hAnsi="仿宋" w:eastAsia="仿宋"/>
          <w:bCs/>
          <w:kern w:val="44"/>
          <w:sz w:val="32"/>
          <w:szCs w:val="32"/>
          <w:lang w:eastAsia="zh-CN"/>
        </w:rPr>
        <w:t>万元，</w:t>
      </w:r>
      <w:r>
        <w:rPr>
          <w:rFonts w:hint="eastAsia" w:ascii="仿宋" w:hAnsi="仿宋" w:eastAsia="仿宋"/>
          <w:bCs/>
          <w:kern w:val="44"/>
          <w:sz w:val="32"/>
          <w:szCs w:val="32"/>
          <w:lang w:val="en-US" w:eastAsia="zh-CN"/>
        </w:rPr>
        <w:t>预算执行金额11037万元，预算执行率79.73%。其中，</w:t>
      </w:r>
      <w:r>
        <w:rPr>
          <w:rFonts w:hint="eastAsia" w:ascii="仿宋" w:hAnsi="仿宋" w:eastAsia="仿宋"/>
          <w:bCs/>
          <w:kern w:val="44"/>
          <w:sz w:val="32"/>
          <w:szCs w:val="32"/>
          <w:lang w:eastAsia="zh-CN"/>
        </w:rPr>
        <w:t>中央转移支付</w:t>
      </w:r>
      <w:r>
        <w:rPr>
          <w:rFonts w:hint="eastAsia" w:ascii="仿宋" w:hAnsi="仿宋" w:eastAsia="仿宋"/>
          <w:bCs/>
          <w:kern w:val="44"/>
          <w:sz w:val="32"/>
          <w:szCs w:val="32"/>
          <w:lang w:val="en-US" w:eastAsia="zh-CN"/>
        </w:rPr>
        <w:t>预算11045</w:t>
      </w:r>
      <w:r>
        <w:rPr>
          <w:rFonts w:hint="eastAsia" w:ascii="仿宋" w:hAnsi="仿宋" w:eastAsia="仿宋"/>
          <w:bCs/>
          <w:kern w:val="44"/>
          <w:sz w:val="32"/>
          <w:szCs w:val="32"/>
          <w:lang w:eastAsia="zh-CN"/>
        </w:rPr>
        <w:t>万元，</w:t>
      </w:r>
      <w:r>
        <w:rPr>
          <w:rFonts w:hint="eastAsia" w:ascii="仿宋" w:hAnsi="仿宋" w:eastAsia="仿宋"/>
          <w:bCs/>
          <w:kern w:val="44"/>
          <w:sz w:val="32"/>
          <w:szCs w:val="32"/>
          <w:lang w:val="en-US" w:eastAsia="zh-CN"/>
        </w:rPr>
        <w:t>预算执行金额为8899万元，预算执行率80.57%；</w:t>
      </w:r>
      <w:r>
        <w:rPr>
          <w:rFonts w:hint="eastAsia" w:ascii="仿宋" w:hAnsi="仿宋" w:eastAsia="仿宋"/>
          <w:bCs/>
          <w:kern w:val="44"/>
          <w:sz w:val="32"/>
          <w:szCs w:val="32"/>
          <w:lang w:eastAsia="zh-CN"/>
        </w:rPr>
        <w:t>地方财政</w:t>
      </w:r>
      <w:r>
        <w:rPr>
          <w:rFonts w:hint="eastAsia" w:ascii="仿宋" w:hAnsi="仿宋" w:eastAsia="仿宋"/>
          <w:bCs/>
          <w:kern w:val="44"/>
          <w:sz w:val="32"/>
          <w:szCs w:val="32"/>
          <w:lang w:val="en-US" w:eastAsia="zh-CN"/>
        </w:rPr>
        <w:t>预算2798</w:t>
      </w:r>
      <w:r>
        <w:rPr>
          <w:rFonts w:hint="eastAsia" w:ascii="仿宋" w:hAnsi="仿宋" w:eastAsia="仿宋"/>
          <w:bCs/>
          <w:kern w:val="44"/>
          <w:sz w:val="32"/>
          <w:szCs w:val="32"/>
          <w:lang w:eastAsia="zh-CN"/>
        </w:rPr>
        <w:t>万元，</w:t>
      </w:r>
      <w:r>
        <w:rPr>
          <w:rFonts w:hint="eastAsia" w:ascii="仿宋" w:hAnsi="仿宋" w:eastAsia="仿宋"/>
          <w:bCs/>
          <w:kern w:val="44"/>
          <w:sz w:val="32"/>
          <w:szCs w:val="32"/>
          <w:lang w:val="en-US" w:eastAsia="zh-CN"/>
        </w:rPr>
        <w:t>预算执行金额为2138万元</w:t>
      </w:r>
      <w:r>
        <w:rPr>
          <w:rFonts w:hint="eastAsia" w:ascii="仿宋" w:hAnsi="仿宋" w:eastAsia="仿宋"/>
          <w:bCs/>
          <w:kern w:val="44"/>
          <w:sz w:val="32"/>
          <w:szCs w:val="32"/>
          <w:lang w:eastAsia="zh-CN"/>
        </w:rPr>
        <w:t>，预算执行率</w:t>
      </w:r>
      <w:r>
        <w:rPr>
          <w:rFonts w:hint="eastAsia" w:ascii="仿宋" w:hAnsi="仿宋" w:eastAsia="仿宋"/>
          <w:bCs/>
          <w:kern w:val="44"/>
          <w:sz w:val="32"/>
          <w:szCs w:val="32"/>
          <w:lang w:val="en-US" w:eastAsia="zh-CN"/>
        </w:rPr>
        <w:t>为76.41</w:t>
      </w: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具体执行情况详见表4。</w:t>
      </w:r>
    </w:p>
    <w:p w14:paraId="50987EF5">
      <w:pPr>
        <w:pStyle w:val="11"/>
        <w:spacing w:line="560" w:lineRule="exact"/>
        <w:ind w:firstLine="3092" w:firstLineChars="1100"/>
        <w:jc w:val="both"/>
        <w:rPr>
          <w:rFonts w:ascii="仿宋" w:hAnsi="仿宋" w:eastAsia="仿宋"/>
          <w:b/>
          <w:kern w:val="44"/>
          <w:sz w:val="28"/>
          <w:szCs w:val="28"/>
        </w:rPr>
      </w:pPr>
      <w:r>
        <w:rPr>
          <w:rFonts w:hint="eastAsia" w:ascii="仿宋" w:hAnsi="仿宋" w:eastAsia="仿宋"/>
          <w:b/>
          <w:kern w:val="44"/>
          <w:sz w:val="28"/>
          <w:szCs w:val="28"/>
        </w:rPr>
        <w:t>表</w:t>
      </w:r>
      <w:r>
        <w:rPr>
          <w:rFonts w:hint="eastAsia" w:ascii="仿宋" w:hAnsi="仿宋" w:eastAsia="仿宋"/>
          <w:b/>
          <w:kern w:val="44"/>
          <w:sz w:val="28"/>
          <w:szCs w:val="28"/>
          <w:lang w:val="en-US" w:eastAsia="zh-CN"/>
        </w:rPr>
        <w:t>4</w:t>
      </w:r>
      <w:r>
        <w:rPr>
          <w:rFonts w:hint="eastAsia" w:ascii="仿宋" w:hAnsi="仿宋" w:eastAsia="仿宋"/>
          <w:b/>
          <w:kern w:val="44"/>
          <w:sz w:val="28"/>
          <w:szCs w:val="28"/>
        </w:rPr>
        <w:t xml:space="preserve"> </w:t>
      </w:r>
      <w:r>
        <w:rPr>
          <w:rFonts w:hint="eastAsia" w:ascii="仿宋" w:hAnsi="仿宋" w:eastAsia="仿宋"/>
          <w:b/>
          <w:kern w:val="44"/>
          <w:sz w:val="28"/>
          <w:szCs w:val="28"/>
          <w:lang w:eastAsia="zh-CN"/>
        </w:rPr>
        <w:t>本项目资金预算执行情况</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13"/>
        <w:gridCol w:w="737"/>
        <w:gridCol w:w="975"/>
        <w:gridCol w:w="951"/>
        <w:gridCol w:w="759"/>
        <w:gridCol w:w="759"/>
        <w:gridCol w:w="880"/>
        <w:gridCol w:w="759"/>
        <w:gridCol w:w="880"/>
        <w:gridCol w:w="881"/>
      </w:tblGrid>
      <w:tr w14:paraId="1E7E5F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5" w:hRule="atLeast"/>
        </w:trPr>
        <w:tc>
          <w:tcPr>
            <w:tcW w:w="1913" w:type="dxa"/>
            <w:vMerge w:val="restart"/>
            <w:shd w:val="clear" w:color="auto" w:fill="F1F1F1" w:themeFill="background1" w:themeFillShade="F2"/>
            <w:vAlign w:val="center"/>
          </w:tcPr>
          <w:p w14:paraId="2AB63CC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b/>
                <w:kern w:val="44"/>
                <w:sz w:val="18"/>
                <w:szCs w:val="18"/>
                <w:lang w:eastAsia="zh-CN"/>
              </w:rPr>
            </w:pPr>
            <w:r>
              <w:rPr>
                <w:rFonts w:hint="eastAsia" w:ascii="仿宋" w:hAnsi="仿宋" w:eastAsia="仿宋"/>
                <w:b/>
                <w:kern w:val="44"/>
                <w:sz w:val="18"/>
                <w:szCs w:val="18"/>
                <w:lang w:eastAsia="zh-CN"/>
              </w:rPr>
              <w:t>项目资金类型</w:t>
            </w:r>
          </w:p>
        </w:tc>
        <w:tc>
          <w:tcPr>
            <w:tcW w:w="2663" w:type="dxa"/>
            <w:gridSpan w:val="3"/>
            <w:shd w:val="clear" w:color="auto" w:fill="F1F1F1" w:themeFill="background1" w:themeFillShade="F2"/>
            <w:vAlign w:val="center"/>
          </w:tcPr>
          <w:p w14:paraId="7D4A2EB0">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kern w:val="44"/>
                <w:sz w:val="18"/>
                <w:szCs w:val="18"/>
                <w:lang w:val="en-US" w:eastAsia="zh-CN" w:bidi="ar-SA"/>
              </w:rPr>
            </w:pPr>
            <w:r>
              <w:rPr>
                <w:rFonts w:hint="eastAsia" w:ascii="仿宋" w:hAnsi="仿宋" w:eastAsia="仿宋" w:cs="Times New Roman"/>
                <w:b/>
                <w:bCs/>
                <w:kern w:val="44"/>
                <w:sz w:val="18"/>
                <w:szCs w:val="18"/>
                <w:lang w:val="en-US" w:eastAsia="zh-CN" w:bidi="ar-SA"/>
              </w:rPr>
              <w:t>预算总额（万元）</w:t>
            </w:r>
          </w:p>
        </w:tc>
        <w:tc>
          <w:tcPr>
            <w:tcW w:w="2398" w:type="dxa"/>
            <w:gridSpan w:val="3"/>
            <w:shd w:val="clear" w:color="auto" w:fill="F1F1F1" w:themeFill="background1" w:themeFillShade="F2"/>
            <w:vAlign w:val="center"/>
          </w:tcPr>
          <w:p w14:paraId="6346FA8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kern w:val="44"/>
                <w:sz w:val="18"/>
                <w:szCs w:val="18"/>
                <w:lang w:val="en-US" w:eastAsia="zh-CN" w:bidi="ar-SA"/>
              </w:rPr>
            </w:pPr>
            <w:r>
              <w:rPr>
                <w:rFonts w:hint="eastAsia" w:ascii="仿宋" w:hAnsi="仿宋" w:eastAsia="仿宋" w:cs="Times New Roman"/>
                <w:b/>
                <w:bCs/>
                <w:kern w:val="44"/>
                <w:sz w:val="18"/>
                <w:szCs w:val="18"/>
                <w:lang w:val="en-US" w:eastAsia="zh-CN" w:bidi="ar-SA"/>
              </w:rPr>
              <w:t>中央转移支付（万元））</w:t>
            </w:r>
          </w:p>
        </w:tc>
        <w:tc>
          <w:tcPr>
            <w:tcW w:w="2520" w:type="dxa"/>
            <w:gridSpan w:val="3"/>
            <w:shd w:val="clear" w:color="auto" w:fill="F1F1F1" w:themeFill="background1" w:themeFillShade="F2"/>
            <w:vAlign w:val="center"/>
          </w:tcPr>
          <w:p w14:paraId="30459F4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kern w:val="44"/>
                <w:sz w:val="18"/>
                <w:szCs w:val="18"/>
                <w:lang w:val="en-US" w:eastAsia="zh-CN" w:bidi="ar-SA"/>
              </w:rPr>
            </w:pPr>
            <w:r>
              <w:rPr>
                <w:rFonts w:hint="eastAsia" w:ascii="仿宋" w:hAnsi="仿宋" w:eastAsia="仿宋" w:cs="Times New Roman"/>
                <w:b/>
                <w:bCs/>
                <w:kern w:val="44"/>
                <w:sz w:val="18"/>
                <w:szCs w:val="18"/>
                <w:lang w:val="en-US" w:eastAsia="zh-CN" w:bidi="ar-SA"/>
              </w:rPr>
              <w:t>地方财政（万元）</w:t>
            </w:r>
          </w:p>
        </w:tc>
      </w:tr>
      <w:tr w14:paraId="039648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13" w:type="dxa"/>
            <w:vMerge w:val="continue"/>
            <w:shd w:val="clear" w:color="auto" w:fill="F1F1F1" w:themeFill="background1" w:themeFillShade="F2"/>
            <w:vAlign w:val="center"/>
          </w:tcPr>
          <w:p w14:paraId="08608241">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b/>
                <w:kern w:val="44"/>
                <w:sz w:val="18"/>
                <w:szCs w:val="18"/>
                <w:lang w:eastAsia="zh-CN"/>
              </w:rPr>
            </w:pPr>
          </w:p>
        </w:tc>
        <w:tc>
          <w:tcPr>
            <w:tcW w:w="737" w:type="dxa"/>
            <w:shd w:val="clear" w:color="auto" w:fill="F1F1F1" w:themeFill="background1" w:themeFillShade="F2"/>
            <w:vAlign w:val="center"/>
          </w:tcPr>
          <w:p w14:paraId="21029A7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kern w:val="44"/>
                <w:sz w:val="18"/>
                <w:szCs w:val="18"/>
                <w:lang w:val="en-US" w:eastAsia="zh-CN" w:bidi="ar-SA"/>
              </w:rPr>
            </w:pPr>
            <w:r>
              <w:rPr>
                <w:rFonts w:hint="eastAsia" w:ascii="仿宋" w:hAnsi="仿宋" w:eastAsia="仿宋" w:cs="Times New Roman"/>
                <w:b/>
                <w:bCs/>
                <w:kern w:val="44"/>
                <w:sz w:val="18"/>
                <w:szCs w:val="18"/>
                <w:lang w:val="en-US" w:eastAsia="zh-CN" w:bidi="ar-SA"/>
              </w:rPr>
              <w:t>预算金额</w:t>
            </w:r>
          </w:p>
        </w:tc>
        <w:tc>
          <w:tcPr>
            <w:tcW w:w="975" w:type="dxa"/>
            <w:shd w:val="clear" w:color="auto" w:fill="F1F1F1" w:themeFill="background1" w:themeFillShade="F2"/>
            <w:vAlign w:val="center"/>
          </w:tcPr>
          <w:p w14:paraId="0215651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kern w:val="44"/>
                <w:sz w:val="18"/>
                <w:szCs w:val="18"/>
                <w:lang w:val="en-US" w:eastAsia="zh-CN" w:bidi="ar-SA"/>
              </w:rPr>
            </w:pPr>
            <w:r>
              <w:rPr>
                <w:rFonts w:hint="eastAsia" w:ascii="仿宋" w:hAnsi="仿宋" w:eastAsia="仿宋" w:cs="Times New Roman"/>
                <w:b/>
                <w:bCs/>
                <w:kern w:val="44"/>
                <w:sz w:val="18"/>
                <w:szCs w:val="18"/>
                <w:lang w:val="en-US" w:eastAsia="zh-CN" w:bidi="ar-SA"/>
              </w:rPr>
              <w:t>执行金额</w:t>
            </w:r>
          </w:p>
        </w:tc>
        <w:tc>
          <w:tcPr>
            <w:tcW w:w="951" w:type="dxa"/>
            <w:shd w:val="clear" w:color="auto" w:fill="F1F1F1" w:themeFill="background1" w:themeFillShade="F2"/>
            <w:vAlign w:val="center"/>
          </w:tcPr>
          <w:p w14:paraId="1918219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kern w:val="44"/>
                <w:sz w:val="18"/>
                <w:szCs w:val="18"/>
                <w:lang w:val="en-US" w:eastAsia="zh-CN" w:bidi="ar-SA"/>
              </w:rPr>
            </w:pPr>
            <w:r>
              <w:rPr>
                <w:rFonts w:hint="eastAsia" w:ascii="仿宋" w:hAnsi="仿宋" w:eastAsia="仿宋" w:cs="Times New Roman"/>
                <w:b/>
                <w:bCs/>
                <w:kern w:val="44"/>
                <w:sz w:val="18"/>
                <w:szCs w:val="18"/>
                <w:lang w:val="en-US" w:eastAsia="zh-CN" w:bidi="ar-SA"/>
              </w:rPr>
              <w:t>预算执行率</w:t>
            </w:r>
          </w:p>
        </w:tc>
        <w:tc>
          <w:tcPr>
            <w:tcW w:w="759" w:type="dxa"/>
            <w:shd w:val="clear" w:color="auto" w:fill="F1F1F1" w:themeFill="background1" w:themeFillShade="F2"/>
            <w:vAlign w:val="center"/>
          </w:tcPr>
          <w:p w14:paraId="53645C5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Times New Roman"/>
                <w:b/>
                <w:bCs/>
                <w:kern w:val="44"/>
                <w:sz w:val="18"/>
                <w:szCs w:val="18"/>
                <w:lang w:val="en-US" w:eastAsia="zh-CN" w:bidi="ar-SA"/>
              </w:rPr>
            </w:pPr>
            <w:r>
              <w:rPr>
                <w:rFonts w:hint="eastAsia" w:ascii="仿宋" w:hAnsi="仿宋" w:eastAsia="仿宋" w:cs="Times New Roman"/>
                <w:b/>
                <w:bCs/>
                <w:kern w:val="44"/>
                <w:sz w:val="18"/>
                <w:szCs w:val="18"/>
                <w:lang w:val="en-US" w:eastAsia="zh-CN" w:bidi="ar-SA"/>
              </w:rPr>
              <w:t>预算金额</w:t>
            </w:r>
          </w:p>
        </w:tc>
        <w:tc>
          <w:tcPr>
            <w:tcW w:w="759" w:type="dxa"/>
            <w:shd w:val="clear" w:color="auto" w:fill="F1F1F1" w:themeFill="background1" w:themeFillShade="F2"/>
            <w:vAlign w:val="center"/>
          </w:tcPr>
          <w:p w14:paraId="7D01F0A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Times New Roman"/>
                <w:b/>
                <w:bCs/>
                <w:kern w:val="44"/>
                <w:sz w:val="18"/>
                <w:szCs w:val="18"/>
                <w:lang w:val="en-US" w:eastAsia="zh-CN" w:bidi="ar-SA"/>
              </w:rPr>
            </w:pPr>
            <w:r>
              <w:rPr>
                <w:rFonts w:hint="eastAsia" w:ascii="仿宋" w:hAnsi="仿宋" w:eastAsia="仿宋" w:cs="Times New Roman"/>
                <w:b/>
                <w:bCs/>
                <w:kern w:val="44"/>
                <w:sz w:val="18"/>
                <w:szCs w:val="18"/>
                <w:lang w:val="en-US" w:eastAsia="zh-CN" w:bidi="ar-SA"/>
              </w:rPr>
              <w:t>执行金额</w:t>
            </w:r>
          </w:p>
        </w:tc>
        <w:tc>
          <w:tcPr>
            <w:tcW w:w="880" w:type="dxa"/>
            <w:shd w:val="clear" w:color="auto" w:fill="F1F1F1" w:themeFill="background1" w:themeFillShade="F2"/>
            <w:vAlign w:val="center"/>
          </w:tcPr>
          <w:p w14:paraId="6F65DEB8">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Times New Roman"/>
                <w:b/>
                <w:bCs/>
                <w:kern w:val="44"/>
                <w:sz w:val="18"/>
                <w:szCs w:val="18"/>
                <w:lang w:val="en-US" w:eastAsia="zh-CN" w:bidi="ar-SA"/>
              </w:rPr>
            </w:pPr>
            <w:r>
              <w:rPr>
                <w:rFonts w:hint="eastAsia" w:ascii="仿宋" w:hAnsi="仿宋" w:eastAsia="仿宋" w:cs="Times New Roman"/>
                <w:b/>
                <w:bCs/>
                <w:kern w:val="44"/>
                <w:sz w:val="18"/>
                <w:szCs w:val="18"/>
                <w:lang w:val="en-US" w:eastAsia="zh-CN" w:bidi="ar-SA"/>
              </w:rPr>
              <w:t>预算执行率</w:t>
            </w:r>
          </w:p>
        </w:tc>
        <w:tc>
          <w:tcPr>
            <w:tcW w:w="759" w:type="dxa"/>
            <w:shd w:val="clear" w:color="auto" w:fill="F1F1F1" w:themeFill="background1" w:themeFillShade="F2"/>
            <w:vAlign w:val="center"/>
          </w:tcPr>
          <w:p w14:paraId="25BB143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Times New Roman"/>
                <w:b/>
                <w:bCs/>
                <w:kern w:val="44"/>
                <w:sz w:val="18"/>
                <w:szCs w:val="18"/>
                <w:lang w:val="en-US" w:eastAsia="zh-CN" w:bidi="ar-SA"/>
              </w:rPr>
            </w:pPr>
            <w:r>
              <w:rPr>
                <w:rFonts w:hint="eastAsia" w:ascii="仿宋" w:hAnsi="仿宋" w:eastAsia="仿宋" w:cs="Times New Roman"/>
                <w:b/>
                <w:bCs/>
                <w:kern w:val="44"/>
                <w:sz w:val="18"/>
                <w:szCs w:val="18"/>
                <w:lang w:val="en-US" w:eastAsia="zh-CN" w:bidi="ar-SA"/>
              </w:rPr>
              <w:t>预算金额</w:t>
            </w:r>
          </w:p>
        </w:tc>
        <w:tc>
          <w:tcPr>
            <w:tcW w:w="880" w:type="dxa"/>
            <w:shd w:val="clear" w:color="auto" w:fill="F1F1F1" w:themeFill="background1" w:themeFillShade="F2"/>
            <w:vAlign w:val="center"/>
          </w:tcPr>
          <w:p w14:paraId="3BACDCC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b/>
                <w:kern w:val="44"/>
                <w:sz w:val="18"/>
                <w:szCs w:val="18"/>
                <w:lang w:eastAsia="zh-CN"/>
              </w:rPr>
            </w:pPr>
            <w:r>
              <w:rPr>
                <w:rFonts w:hint="eastAsia" w:ascii="仿宋" w:hAnsi="仿宋" w:eastAsia="仿宋" w:cs="Times New Roman"/>
                <w:b/>
                <w:bCs/>
                <w:kern w:val="44"/>
                <w:sz w:val="18"/>
                <w:szCs w:val="18"/>
                <w:lang w:val="en-US" w:eastAsia="zh-CN" w:bidi="ar-SA"/>
              </w:rPr>
              <w:t>执行金额</w:t>
            </w:r>
          </w:p>
        </w:tc>
        <w:tc>
          <w:tcPr>
            <w:tcW w:w="881" w:type="dxa"/>
            <w:shd w:val="clear" w:color="auto" w:fill="F1F1F1" w:themeFill="background1" w:themeFillShade="F2"/>
            <w:vAlign w:val="center"/>
          </w:tcPr>
          <w:p w14:paraId="24BD710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Times New Roman"/>
                <w:b/>
                <w:bCs/>
                <w:kern w:val="44"/>
                <w:sz w:val="18"/>
                <w:szCs w:val="18"/>
                <w:lang w:val="en-US" w:eastAsia="zh-CN" w:bidi="ar-SA"/>
              </w:rPr>
            </w:pPr>
            <w:r>
              <w:rPr>
                <w:rFonts w:hint="eastAsia" w:ascii="仿宋" w:hAnsi="仿宋" w:eastAsia="仿宋" w:cs="Times New Roman"/>
                <w:b/>
                <w:bCs/>
                <w:kern w:val="44"/>
                <w:sz w:val="18"/>
                <w:szCs w:val="18"/>
                <w:lang w:val="en-US" w:eastAsia="zh-CN" w:bidi="ar-SA"/>
              </w:rPr>
              <w:t>预算执行率</w:t>
            </w:r>
          </w:p>
        </w:tc>
      </w:tr>
      <w:tr w14:paraId="512D87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913" w:type="dxa"/>
            <w:shd w:val="clear" w:color="auto" w:fill="F1F1F1" w:themeFill="background1" w:themeFillShade="F2"/>
            <w:vAlign w:val="center"/>
          </w:tcPr>
          <w:p w14:paraId="679F6A1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b/>
                <w:bCs/>
                <w:color w:val="auto"/>
                <w:kern w:val="44"/>
                <w:sz w:val="18"/>
                <w:szCs w:val="18"/>
                <w:lang w:val="en-US" w:eastAsia="zh-CN"/>
              </w:rPr>
            </w:pPr>
            <w:r>
              <w:rPr>
                <w:rFonts w:hint="eastAsia" w:ascii="仿宋" w:hAnsi="仿宋" w:eastAsia="仿宋"/>
                <w:b/>
                <w:bCs/>
                <w:color w:val="auto"/>
                <w:kern w:val="44"/>
                <w:sz w:val="18"/>
                <w:szCs w:val="18"/>
                <w:lang w:val="en-US" w:eastAsia="zh-CN"/>
              </w:rPr>
              <w:t>合计</w:t>
            </w:r>
          </w:p>
        </w:tc>
        <w:tc>
          <w:tcPr>
            <w:tcW w:w="737" w:type="dxa"/>
            <w:vAlign w:val="center"/>
          </w:tcPr>
          <w:p w14:paraId="34F64F6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13843</w:t>
            </w:r>
          </w:p>
        </w:tc>
        <w:tc>
          <w:tcPr>
            <w:tcW w:w="975" w:type="dxa"/>
            <w:vAlign w:val="center"/>
          </w:tcPr>
          <w:p w14:paraId="208D273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11037</w:t>
            </w:r>
          </w:p>
        </w:tc>
        <w:tc>
          <w:tcPr>
            <w:tcW w:w="951" w:type="dxa"/>
            <w:vAlign w:val="center"/>
          </w:tcPr>
          <w:p w14:paraId="220C9CF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79.73%</w:t>
            </w:r>
          </w:p>
        </w:tc>
        <w:tc>
          <w:tcPr>
            <w:tcW w:w="759" w:type="dxa"/>
            <w:vAlign w:val="center"/>
          </w:tcPr>
          <w:p w14:paraId="3386CCB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11045</w:t>
            </w:r>
          </w:p>
        </w:tc>
        <w:tc>
          <w:tcPr>
            <w:tcW w:w="759" w:type="dxa"/>
            <w:vAlign w:val="center"/>
          </w:tcPr>
          <w:p w14:paraId="311D679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8899</w:t>
            </w:r>
          </w:p>
        </w:tc>
        <w:tc>
          <w:tcPr>
            <w:tcW w:w="880" w:type="dxa"/>
            <w:vAlign w:val="center"/>
          </w:tcPr>
          <w:p w14:paraId="39C3974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80.57%</w:t>
            </w:r>
          </w:p>
        </w:tc>
        <w:tc>
          <w:tcPr>
            <w:tcW w:w="759" w:type="dxa"/>
            <w:vAlign w:val="center"/>
          </w:tcPr>
          <w:p w14:paraId="55E9F5D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2798</w:t>
            </w:r>
          </w:p>
        </w:tc>
        <w:tc>
          <w:tcPr>
            <w:tcW w:w="880" w:type="dxa"/>
            <w:vAlign w:val="center"/>
          </w:tcPr>
          <w:p w14:paraId="1B25F6F1">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b/>
                <w:color w:val="auto"/>
                <w:kern w:val="44"/>
                <w:sz w:val="18"/>
                <w:szCs w:val="18"/>
                <w:lang w:val="en-US" w:eastAsia="zh-CN"/>
              </w:rPr>
            </w:pPr>
            <w:r>
              <w:rPr>
                <w:rFonts w:hint="eastAsia" w:ascii="仿宋" w:hAnsi="仿宋" w:eastAsia="仿宋"/>
                <w:b/>
                <w:color w:val="auto"/>
                <w:kern w:val="44"/>
                <w:sz w:val="18"/>
                <w:szCs w:val="18"/>
                <w:lang w:val="en-US" w:eastAsia="zh-CN"/>
              </w:rPr>
              <w:t>2138</w:t>
            </w:r>
          </w:p>
        </w:tc>
        <w:tc>
          <w:tcPr>
            <w:tcW w:w="881" w:type="dxa"/>
            <w:vAlign w:val="center"/>
          </w:tcPr>
          <w:p w14:paraId="64ED39F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b/>
                <w:color w:val="auto"/>
                <w:kern w:val="44"/>
                <w:sz w:val="18"/>
                <w:szCs w:val="18"/>
                <w:lang w:val="en-US" w:eastAsia="zh-CN"/>
              </w:rPr>
            </w:pPr>
            <w:r>
              <w:rPr>
                <w:rFonts w:hint="eastAsia" w:ascii="仿宋" w:hAnsi="仿宋" w:eastAsia="仿宋"/>
                <w:b/>
                <w:color w:val="auto"/>
                <w:kern w:val="44"/>
                <w:sz w:val="18"/>
                <w:szCs w:val="18"/>
                <w:lang w:val="en-US" w:eastAsia="zh-CN"/>
              </w:rPr>
              <w:t>76.41%</w:t>
            </w:r>
          </w:p>
        </w:tc>
      </w:tr>
      <w:tr w14:paraId="3B6354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13" w:type="dxa"/>
            <w:shd w:val="clear" w:color="auto" w:fill="F1F1F1" w:themeFill="background1" w:themeFillShade="F2"/>
            <w:vAlign w:val="center"/>
          </w:tcPr>
          <w:p w14:paraId="7555501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煤矿及重点非煤矿山重大灾害风险防控</w:t>
            </w:r>
          </w:p>
        </w:tc>
        <w:tc>
          <w:tcPr>
            <w:tcW w:w="737" w:type="dxa"/>
            <w:vAlign w:val="center"/>
          </w:tcPr>
          <w:p w14:paraId="6142E6C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5706</w:t>
            </w:r>
          </w:p>
        </w:tc>
        <w:tc>
          <w:tcPr>
            <w:tcW w:w="975" w:type="dxa"/>
            <w:vAlign w:val="center"/>
          </w:tcPr>
          <w:p w14:paraId="6BF0DD0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5706</w:t>
            </w:r>
          </w:p>
        </w:tc>
        <w:tc>
          <w:tcPr>
            <w:tcW w:w="951" w:type="dxa"/>
            <w:vAlign w:val="center"/>
          </w:tcPr>
          <w:p w14:paraId="6FB6402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100%</w:t>
            </w:r>
          </w:p>
        </w:tc>
        <w:tc>
          <w:tcPr>
            <w:tcW w:w="759" w:type="dxa"/>
            <w:vAlign w:val="center"/>
          </w:tcPr>
          <w:p w14:paraId="556E57E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5706</w:t>
            </w:r>
          </w:p>
        </w:tc>
        <w:tc>
          <w:tcPr>
            <w:tcW w:w="759" w:type="dxa"/>
            <w:vAlign w:val="center"/>
          </w:tcPr>
          <w:p w14:paraId="3561580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5706</w:t>
            </w:r>
          </w:p>
        </w:tc>
        <w:tc>
          <w:tcPr>
            <w:tcW w:w="880" w:type="dxa"/>
            <w:vAlign w:val="center"/>
          </w:tcPr>
          <w:p w14:paraId="4E9F6AE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100%</w:t>
            </w:r>
          </w:p>
        </w:tc>
        <w:tc>
          <w:tcPr>
            <w:tcW w:w="759" w:type="dxa"/>
            <w:vAlign w:val="center"/>
          </w:tcPr>
          <w:p w14:paraId="5F8A9D0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w:t>
            </w:r>
          </w:p>
        </w:tc>
        <w:tc>
          <w:tcPr>
            <w:tcW w:w="880" w:type="dxa"/>
            <w:vAlign w:val="center"/>
          </w:tcPr>
          <w:p w14:paraId="5C175E2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w:t>
            </w:r>
          </w:p>
        </w:tc>
        <w:tc>
          <w:tcPr>
            <w:tcW w:w="881" w:type="dxa"/>
            <w:vAlign w:val="center"/>
          </w:tcPr>
          <w:p w14:paraId="1A5D14B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w:t>
            </w:r>
          </w:p>
        </w:tc>
      </w:tr>
      <w:tr w14:paraId="2C4457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7" w:hRule="atLeast"/>
        </w:trPr>
        <w:tc>
          <w:tcPr>
            <w:tcW w:w="1913" w:type="dxa"/>
            <w:shd w:val="clear" w:color="auto" w:fill="F1F1F1" w:themeFill="background1" w:themeFillShade="F2"/>
            <w:vAlign w:val="center"/>
          </w:tcPr>
          <w:p w14:paraId="524F7D0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尾矿库风险隐患治理</w:t>
            </w:r>
          </w:p>
        </w:tc>
        <w:tc>
          <w:tcPr>
            <w:tcW w:w="737" w:type="dxa"/>
            <w:vAlign w:val="center"/>
          </w:tcPr>
          <w:p w14:paraId="7F00965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2910</w:t>
            </w:r>
          </w:p>
        </w:tc>
        <w:tc>
          <w:tcPr>
            <w:tcW w:w="975" w:type="dxa"/>
            <w:vAlign w:val="center"/>
          </w:tcPr>
          <w:p w14:paraId="51D9D621">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2250</w:t>
            </w:r>
          </w:p>
        </w:tc>
        <w:tc>
          <w:tcPr>
            <w:tcW w:w="951" w:type="dxa"/>
            <w:vAlign w:val="center"/>
          </w:tcPr>
          <w:p w14:paraId="1179404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77.32%</w:t>
            </w:r>
          </w:p>
        </w:tc>
        <w:tc>
          <w:tcPr>
            <w:tcW w:w="759" w:type="dxa"/>
            <w:vAlign w:val="center"/>
          </w:tcPr>
          <w:p w14:paraId="36B6B92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1455</w:t>
            </w:r>
          </w:p>
        </w:tc>
        <w:tc>
          <w:tcPr>
            <w:tcW w:w="759" w:type="dxa"/>
            <w:vAlign w:val="center"/>
          </w:tcPr>
          <w:p w14:paraId="1514C55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1455</w:t>
            </w:r>
          </w:p>
        </w:tc>
        <w:tc>
          <w:tcPr>
            <w:tcW w:w="880" w:type="dxa"/>
            <w:vAlign w:val="center"/>
          </w:tcPr>
          <w:p w14:paraId="036CCF0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100%</w:t>
            </w:r>
          </w:p>
        </w:tc>
        <w:tc>
          <w:tcPr>
            <w:tcW w:w="759" w:type="dxa"/>
            <w:vAlign w:val="center"/>
          </w:tcPr>
          <w:p w14:paraId="698A25B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1455</w:t>
            </w:r>
          </w:p>
        </w:tc>
        <w:tc>
          <w:tcPr>
            <w:tcW w:w="880" w:type="dxa"/>
            <w:vAlign w:val="center"/>
          </w:tcPr>
          <w:p w14:paraId="408D89B7">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795</w:t>
            </w:r>
          </w:p>
        </w:tc>
        <w:tc>
          <w:tcPr>
            <w:tcW w:w="881" w:type="dxa"/>
            <w:vAlign w:val="center"/>
          </w:tcPr>
          <w:p w14:paraId="4D37E98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54.64%</w:t>
            </w:r>
          </w:p>
        </w:tc>
      </w:tr>
      <w:tr w14:paraId="3BFC5A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13" w:type="dxa"/>
            <w:shd w:val="clear" w:color="auto" w:fill="F1F1F1" w:themeFill="background1" w:themeFillShade="F2"/>
            <w:vAlign w:val="center"/>
          </w:tcPr>
          <w:p w14:paraId="4C42B6E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安全生产应急救援力量建设</w:t>
            </w:r>
          </w:p>
        </w:tc>
        <w:tc>
          <w:tcPr>
            <w:tcW w:w="737" w:type="dxa"/>
            <w:vAlign w:val="center"/>
          </w:tcPr>
          <w:p w14:paraId="53B4337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rPr>
            </w:pPr>
            <w:r>
              <w:rPr>
                <w:rFonts w:hint="eastAsia" w:ascii="仿宋" w:hAnsi="仿宋" w:eastAsia="仿宋" w:cs="Times New Roman"/>
                <w:b w:val="0"/>
                <w:bCs w:val="0"/>
                <w:color w:val="auto"/>
                <w:kern w:val="44"/>
                <w:sz w:val="18"/>
                <w:szCs w:val="18"/>
                <w:lang w:val="en-US" w:eastAsia="zh-CN"/>
              </w:rPr>
              <w:t>3039</w:t>
            </w:r>
          </w:p>
        </w:tc>
        <w:tc>
          <w:tcPr>
            <w:tcW w:w="975" w:type="dxa"/>
            <w:vAlign w:val="center"/>
          </w:tcPr>
          <w:p w14:paraId="4181558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rPr>
            </w:pPr>
            <w:r>
              <w:rPr>
                <w:rFonts w:hint="eastAsia" w:ascii="仿宋" w:hAnsi="仿宋" w:eastAsia="仿宋" w:cs="Times New Roman"/>
                <w:b w:val="0"/>
                <w:bCs w:val="0"/>
                <w:color w:val="auto"/>
                <w:kern w:val="44"/>
                <w:sz w:val="18"/>
                <w:szCs w:val="18"/>
                <w:lang w:val="en-US" w:eastAsia="zh-CN"/>
              </w:rPr>
              <w:t>893</w:t>
            </w:r>
          </w:p>
        </w:tc>
        <w:tc>
          <w:tcPr>
            <w:tcW w:w="951" w:type="dxa"/>
            <w:vAlign w:val="center"/>
          </w:tcPr>
          <w:p w14:paraId="35C48BF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29.38%</w:t>
            </w:r>
          </w:p>
        </w:tc>
        <w:tc>
          <w:tcPr>
            <w:tcW w:w="759" w:type="dxa"/>
            <w:vAlign w:val="center"/>
          </w:tcPr>
          <w:p w14:paraId="6F32DDC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color w:val="auto"/>
                <w:kern w:val="44"/>
                <w:sz w:val="18"/>
                <w:szCs w:val="18"/>
                <w:lang w:val="en-US" w:eastAsia="zh-CN"/>
              </w:rPr>
            </w:pPr>
            <w:r>
              <w:rPr>
                <w:rFonts w:hint="eastAsia" w:ascii="仿宋" w:hAnsi="仿宋" w:eastAsia="仿宋" w:cs="Times New Roman"/>
                <w:color w:val="auto"/>
                <w:kern w:val="44"/>
                <w:sz w:val="18"/>
                <w:szCs w:val="18"/>
                <w:lang w:val="en-US" w:eastAsia="zh-CN"/>
              </w:rPr>
              <w:t>3039</w:t>
            </w:r>
          </w:p>
        </w:tc>
        <w:tc>
          <w:tcPr>
            <w:tcW w:w="759" w:type="dxa"/>
            <w:vAlign w:val="center"/>
          </w:tcPr>
          <w:p w14:paraId="37707B5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color w:val="auto"/>
                <w:kern w:val="44"/>
                <w:sz w:val="18"/>
                <w:szCs w:val="18"/>
                <w:lang w:val="en-US" w:eastAsia="zh-CN"/>
              </w:rPr>
            </w:pPr>
            <w:r>
              <w:rPr>
                <w:rFonts w:hint="eastAsia" w:ascii="仿宋" w:hAnsi="仿宋" w:eastAsia="仿宋" w:cs="Times New Roman"/>
                <w:color w:val="auto"/>
                <w:kern w:val="44"/>
                <w:sz w:val="18"/>
                <w:szCs w:val="18"/>
                <w:lang w:val="en-US" w:eastAsia="zh-CN"/>
              </w:rPr>
              <w:t>893</w:t>
            </w:r>
          </w:p>
        </w:tc>
        <w:tc>
          <w:tcPr>
            <w:tcW w:w="880" w:type="dxa"/>
            <w:vAlign w:val="center"/>
          </w:tcPr>
          <w:p w14:paraId="56AC3AA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color w:val="auto"/>
                <w:kern w:val="44"/>
                <w:sz w:val="18"/>
                <w:szCs w:val="18"/>
                <w:lang w:val="en-US" w:eastAsia="zh-CN"/>
              </w:rPr>
            </w:pPr>
            <w:r>
              <w:rPr>
                <w:rFonts w:hint="eastAsia" w:ascii="仿宋" w:hAnsi="仿宋" w:eastAsia="仿宋" w:cs="Times New Roman"/>
                <w:color w:val="auto"/>
                <w:kern w:val="44"/>
                <w:sz w:val="18"/>
                <w:szCs w:val="18"/>
                <w:lang w:val="en-US" w:eastAsia="zh-CN"/>
              </w:rPr>
              <w:t>29.38%</w:t>
            </w:r>
          </w:p>
        </w:tc>
        <w:tc>
          <w:tcPr>
            <w:tcW w:w="759" w:type="dxa"/>
            <w:vAlign w:val="center"/>
          </w:tcPr>
          <w:p w14:paraId="2BDA06B6">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w:t>
            </w:r>
          </w:p>
        </w:tc>
        <w:tc>
          <w:tcPr>
            <w:tcW w:w="880" w:type="dxa"/>
            <w:vAlign w:val="center"/>
          </w:tcPr>
          <w:p w14:paraId="77CD7D67">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w:t>
            </w:r>
          </w:p>
        </w:tc>
        <w:tc>
          <w:tcPr>
            <w:tcW w:w="881" w:type="dxa"/>
            <w:vAlign w:val="center"/>
          </w:tcPr>
          <w:p w14:paraId="37A84CA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w:t>
            </w:r>
          </w:p>
        </w:tc>
      </w:tr>
      <w:tr w14:paraId="6979CC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13" w:type="dxa"/>
            <w:shd w:val="clear" w:color="auto" w:fill="F1F1F1" w:themeFill="background1" w:themeFillShade="F2"/>
            <w:vAlign w:val="center"/>
          </w:tcPr>
          <w:p w14:paraId="3E36E67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危险化学品重大安全风险防控</w:t>
            </w:r>
          </w:p>
        </w:tc>
        <w:tc>
          <w:tcPr>
            <w:tcW w:w="737" w:type="dxa"/>
            <w:vAlign w:val="center"/>
          </w:tcPr>
          <w:p w14:paraId="5D6CE5E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rPr>
            </w:pPr>
            <w:r>
              <w:rPr>
                <w:rFonts w:hint="eastAsia" w:ascii="仿宋" w:hAnsi="仿宋" w:eastAsia="仿宋" w:cs="Times New Roman"/>
                <w:b w:val="0"/>
                <w:bCs w:val="0"/>
                <w:color w:val="auto"/>
                <w:kern w:val="44"/>
                <w:sz w:val="18"/>
                <w:szCs w:val="18"/>
                <w:lang w:val="en-US" w:eastAsia="zh-CN"/>
              </w:rPr>
              <w:t>2188</w:t>
            </w:r>
          </w:p>
        </w:tc>
        <w:tc>
          <w:tcPr>
            <w:tcW w:w="975" w:type="dxa"/>
            <w:vAlign w:val="center"/>
          </w:tcPr>
          <w:p w14:paraId="3A67C0C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rPr>
            </w:pPr>
            <w:r>
              <w:rPr>
                <w:rFonts w:hint="eastAsia" w:ascii="仿宋" w:hAnsi="仿宋" w:eastAsia="仿宋" w:cs="Times New Roman"/>
                <w:b w:val="0"/>
                <w:bCs w:val="0"/>
                <w:color w:val="auto"/>
                <w:kern w:val="44"/>
                <w:sz w:val="18"/>
                <w:szCs w:val="18"/>
                <w:lang w:val="en-US" w:eastAsia="zh-CN"/>
              </w:rPr>
              <w:t>2188</w:t>
            </w:r>
          </w:p>
        </w:tc>
        <w:tc>
          <w:tcPr>
            <w:tcW w:w="951" w:type="dxa"/>
            <w:vAlign w:val="center"/>
          </w:tcPr>
          <w:p w14:paraId="67A1D771">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100%</w:t>
            </w:r>
          </w:p>
        </w:tc>
        <w:tc>
          <w:tcPr>
            <w:tcW w:w="759" w:type="dxa"/>
            <w:vAlign w:val="center"/>
          </w:tcPr>
          <w:p w14:paraId="17C9B59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color w:val="auto"/>
                <w:kern w:val="44"/>
                <w:sz w:val="18"/>
                <w:szCs w:val="18"/>
                <w:lang w:val="en-US" w:eastAsia="zh-CN"/>
              </w:rPr>
            </w:pPr>
            <w:r>
              <w:rPr>
                <w:rFonts w:hint="eastAsia" w:ascii="仿宋" w:hAnsi="仿宋" w:eastAsia="仿宋" w:cs="Times New Roman"/>
                <w:color w:val="auto"/>
                <w:kern w:val="44"/>
                <w:sz w:val="18"/>
                <w:szCs w:val="18"/>
                <w:lang w:val="en-US" w:eastAsia="zh-CN"/>
              </w:rPr>
              <w:t>845</w:t>
            </w:r>
          </w:p>
        </w:tc>
        <w:tc>
          <w:tcPr>
            <w:tcW w:w="759" w:type="dxa"/>
            <w:vAlign w:val="center"/>
          </w:tcPr>
          <w:p w14:paraId="05D51A6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color w:val="auto"/>
                <w:kern w:val="44"/>
                <w:sz w:val="18"/>
                <w:szCs w:val="18"/>
                <w:lang w:val="en-US" w:eastAsia="zh-CN"/>
              </w:rPr>
            </w:pPr>
            <w:r>
              <w:rPr>
                <w:rFonts w:hint="eastAsia" w:ascii="仿宋" w:hAnsi="仿宋" w:eastAsia="仿宋" w:cs="Times New Roman"/>
                <w:color w:val="auto"/>
                <w:kern w:val="44"/>
                <w:sz w:val="18"/>
                <w:szCs w:val="18"/>
                <w:lang w:val="en-US" w:eastAsia="zh-CN"/>
              </w:rPr>
              <w:t>845</w:t>
            </w:r>
          </w:p>
        </w:tc>
        <w:tc>
          <w:tcPr>
            <w:tcW w:w="880" w:type="dxa"/>
            <w:vAlign w:val="center"/>
          </w:tcPr>
          <w:p w14:paraId="32F4862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color w:val="auto"/>
                <w:kern w:val="44"/>
                <w:sz w:val="18"/>
                <w:szCs w:val="18"/>
                <w:lang w:val="en-US" w:eastAsia="zh-CN"/>
              </w:rPr>
            </w:pPr>
            <w:r>
              <w:rPr>
                <w:rFonts w:hint="eastAsia" w:ascii="仿宋" w:hAnsi="仿宋" w:eastAsia="仿宋" w:cs="Times New Roman"/>
                <w:color w:val="auto"/>
                <w:kern w:val="44"/>
                <w:sz w:val="18"/>
                <w:szCs w:val="18"/>
                <w:lang w:val="en-US" w:eastAsia="zh-CN"/>
              </w:rPr>
              <w:t>100%</w:t>
            </w:r>
          </w:p>
        </w:tc>
        <w:tc>
          <w:tcPr>
            <w:tcW w:w="759" w:type="dxa"/>
            <w:vAlign w:val="center"/>
          </w:tcPr>
          <w:p w14:paraId="319CCD76">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1343</w:t>
            </w:r>
          </w:p>
        </w:tc>
        <w:tc>
          <w:tcPr>
            <w:tcW w:w="880" w:type="dxa"/>
            <w:vAlign w:val="center"/>
          </w:tcPr>
          <w:p w14:paraId="1905245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1343</w:t>
            </w:r>
          </w:p>
        </w:tc>
        <w:tc>
          <w:tcPr>
            <w:tcW w:w="881" w:type="dxa"/>
            <w:vAlign w:val="center"/>
          </w:tcPr>
          <w:p w14:paraId="1392C6A0">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100%</w:t>
            </w:r>
          </w:p>
        </w:tc>
      </w:tr>
    </w:tbl>
    <w:p w14:paraId="7E290FD1">
      <w:pPr>
        <w:rPr>
          <w:rFonts w:hint="default"/>
          <w:lang w:val="en-US" w:eastAsia="zh-CN"/>
        </w:rPr>
      </w:pPr>
    </w:p>
    <w:p w14:paraId="35E3EAB3">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（1）煤矿及重点非煤矿山重大灾害风险防控支出补助项目</w:t>
      </w:r>
    </w:p>
    <w:p w14:paraId="69F8D4B8">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煤矿及重点非煤矿山重大灾害风险防控支出补助预算5706万元，均为中央转移支付预算，预算执行金额5706万元，预算执行率为100%。</w:t>
      </w:r>
    </w:p>
    <w:p w14:paraId="5BF7FB38">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（2）尾矿库风险隐患治理支出补助项目</w:t>
      </w:r>
    </w:p>
    <w:p w14:paraId="5C61FC66">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尾矿库风险隐患治理支出补助预算2910万元，预算执行金额2250万元，预算执行率为77.32%。其中，中央转移支付预算1455万元，预算执行金额1455万元，预算执行率100%；福建省地方财政预算1455万元，预算执行金额795万元，预算执行率54.64%。未执行的660万元地方财政预算，主要由于部分尾矿库尚处于建设阶段，项目补助资金将于项目竣工验收后按照规定流程予以拨付。</w:t>
      </w:r>
    </w:p>
    <w:p w14:paraId="3E12EF50">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（3）安全生产应急救援力量建设支出补助项目</w:t>
      </w:r>
    </w:p>
    <w:p w14:paraId="5B105B7D">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安全生产应急救援力量建设支出补助预算3039万元，均为中央转移支付预算，预算执行金额893万元，预算执行率为29.38%。其中未执行的2146万元中央转移支付预算，主要由于国家专业队装备采购预算将于国家专业队依托单位上报设备招标采购方案及招标结果，并经省财政厅、应急管理厅审核通过后，按照规定流程予以拨付。</w:t>
      </w:r>
    </w:p>
    <w:p w14:paraId="1C2F61F6">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（4）危险化学品重大安全风险防控支出补助项目</w:t>
      </w:r>
    </w:p>
    <w:p w14:paraId="43191D1D">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危险化学品重大安全风险防控支出补助预算2188万元，预算执行金额2188万元，预算执行率100%。其中，中央转移支付预算845万元，预算执行金额845万元，预算执行率100%；地方财政预算1343万元，预算执行金额1343万元，预算执行率100%。</w:t>
      </w:r>
    </w:p>
    <w:p w14:paraId="3C55DD8D">
      <w:pPr>
        <w:pStyle w:val="41"/>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（二）资金管理情况</w:t>
      </w:r>
    </w:p>
    <w:p w14:paraId="0EBB88E4">
      <w:pPr>
        <w:pStyle w:val="4"/>
        <w:spacing w:before="0" w:after="0" w:line="240" w:lineRule="auto"/>
        <w:ind w:firstLine="643" w:firstLineChars="200"/>
        <w:rPr>
          <w:rFonts w:hint="default" w:ascii="仿宋" w:hAnsi="仿宋" w:eastAsia="仿宋" w:cs="仿宋"/>
          <w:b/>
          <w:bCs w:val="0"/>
          <w:lang w:val="en-US" w:eastAsia="zh-CN"/>
        </w:rPr>
      </w:pPr>
      <w:r>
        <w:rPr>
          <w:rFonts w:hint="eastAsia" w:ascii="仿宋" w:hAnsi="仿宋" w:eastAsia="仿宋" w:cs="仿宋"/>
          <w:b/>
          <w:bCs w:val="0"/>
          <w:lang w:val="en-US" w:eastAsia="zh-CN"/>
        </w:rPr>
        <w:t>1.资金分配科学性</w:t>
      </w:r>
    </w:p>
    <w:p w14:paraId="1DDB4532">
      <w:pPr>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lang w:val="en-US" w:eastAsia="zh-CN"/>
        </w:rPr>
        <w:t>省应急管理厅根据《安全生产预防和应急救援能力建设补助资金管理办法》（财资环〔2022〕93号</w:t>
      </w:r>
      <w:r>
        <w:rPr>
          <w:rFonts w:hint="default" w:ascii="仿宋" w:hAnsi="仿宋" w:eastAsia="仿宋"/>
          <w:bCs/>
          <w:kern w:val="44"/>
          <w:sz w:val="32"/>
          <w:szCs w:val="32"/>
          <w:lang w:val="en-US" w:eastAsia="zh-CN"/>
        </w:rPr>
        <w:t>)</w:t>
      </w:r>
      <w:r>
        <w:rPr>
          <w:rFonts w:hint="eastAsia" w:ascii="仿宋" w:hAnsi="仿宋" w:eastAsia="仿宋"/>
          <w:bCs/>
          <w:kern w:val="44"/>
          <w:sz w:val="32"/>
          <w:szCs w:val="32"/>
          <w:lang w:val="en-US" w:eastAsia="zh-CN"/>
        </w:rPr>
        <w:t>、《应急管理部 财政部关于印发&lt;安全生产应急救援力量建设总体方案&gt;的通知》（应急〔2022〕124号</w:t>
      </w:r>
      <w:r>
        <w:rPr>
          <w:rFonts w:hint="default" w:ascii="仿宋" w:hAnsi="仿宋" w:eastAsia="仿宋"/>
          <w:bCs/>
          <w:kern w:val="44"/>
          <w:sz w:val="32"/>
          <w:szCs w:val="32"/>
          <w:lang w:val="en-US" w:eastAsia="zh-CN"/>
        </w:rPr>
        <w:t>)</w:t>
      </w:r>
      <w:r>
        <w:rPr>
          <w:rFonts w:hint="eastAsia" w:ascii="仿宋" w:hAnsi="仿宋" w:eastAsia="仿宋"/>
          <w:bCs/>
          <w:kern w:val="44"/>
          <w:sz w:val="32"/>
          <w:szCs w:val="32"/>
          <w:lang w:val="en-US" w:eastAsia="zh-CN"/>
        </w:rPr>
        <w:t>、《应急管理部 财政部关于印发&lt;重点化工产业</w:t>
      </w:r>
      <w:bookmarkStart w:id="0" w:name="FunCunProofread2273"/>
      <w:r>
        <w:rPr>
          <w:rFonts w:hint="eastAsia" w:ascii="仿宋" w:hAnsi="仿宋" w:eastAsia="仿宋"/>
          <w:bCs/>
          <w:kern w:val="44"/>
          <w:sz w:val="32"/>
          <w:szCs w:val="32"/>
          <w:lang w:val="en-US" w:eastAsia="zh-CN"/>
        </w:rPr>
        <w:t>聚集区</w:t>
      </w:r>
      <w:bookmarkEnd w:id="0"/>
      <w:r>
        <w:rPr>
          <w:rFonts w:hint="eastAsia" w:ascii="仿宋" w:hAnsi="仿宋" w:eastAsia="仿宋"/>
          <w:bCs/>
          <w:kern w:val="44"/>
          <w:sz w:val="32"/>
          <w:szCs w:val="32"/>
          <w:lang w:val="en-US" w:eastAsia="zh-CN"/>
        </w:rPr>
        <w:t>重大安全风险防控工作总体方案&gt;的通知》（应急〔2022〕104号</w:t>
      </w:r>
      <w:r>
        <w:rPr>
          <w:rFonts w:hint="default" w:ascii="仿宋" w:hAnsi="仿宋" w:eastAsia="仿宋"/>
          <w:bCs/>
          <w:kern w:val="44"/>
          <w:sz w:val="32"/>
          <w:szCs w:val="32"/>
          <w:lang w:val="en-US" w:eastAsia="zh-CN"/>
        </w:rPr>
        <w:t>)</w:t>
      </w:r>
      <w:r>
        <w:rPr>
          <w:rFonts w:hint="eastAsia" w:ascii="仿宋" w:hAnsi="仿宋" w:eastAsia="仿宋"/>
          <w:bCs/>
          <w:kern w:val="44"/>
          <w:sz w:val="32"/>
          <w:szCs w:val="32"/>
          <w:lang w:val="en-US" w:eastAsia="zh-CN"/>
        </w:rPr>
        <w:t>、《国家矿山安监局 财政部关于印发&lt;尾矿库风险隐患治理工作总体方案&gt;的通知》（矿安〔2022〕127号</w:t>
      </w:r>
      <w:r>
        <w:rPr>
          <w:rFonts w:hint="default" w:ascii="仿宋" w:hAnsi="仿宋" w:eastAsia="仿宋"/>
          <w:bCs/>
          <w:kern w:val="44"/>
          <w:sz w:val="32"/>
          <w:szCs w:val="32"/>
          <w:lang w:val="en-US" w:eastAsia="zh-CN"/>
        </w:rPr>
        <w:t>)</w:t>
      </w:r>
      <w:r>
        <w:rPr>
          <w:rFonts w:hint="eastAsia" w:ascii="仿宋" w:hAnsi="仿宋" w:eastAsia="仿宋"/>
          <w:bCs/>
          <w:kern w:val="44"/>
          <w:sz w:val="32"/>
          <w:szCs w:val="32"/>
          <w:lang w:val="en-US" w:eastAsia="zh-CN"/>
        </w:rPr>
        <w:t>、《国家矿山安监局 财政部关于印发&lt;煤矿及重点非煤矿山重大灾害风险防控建设工作总体方案&gt;的通知》（矿安〔2022〕128号</w:t>
      </w:r>
      <w:r>
        <w:rPr>
          <w:rFonts w:hint="default" w:ascii="仿宋" w:hAnsi="仿宋" w:eastAsia="仿宋"/>
          <w:bCs/>
          <w:kern w:val="44"/>
          <w:sz w:val="32"/>
          <w:szCs w:val="32"/>
          <w:lang w:val="en-US" w:eastAsia="zh-CN"/>
        </w:rPr>
        <w:t>)</w:t>
      </w:r>
      <w:r>
        <w:rPr>
          <w:rFonts w:hint="eastAsia" w:ascii="仿宋" w:hAnsi="仿宋" w:eastAsia="仿宋"/>
          <w:bCs/>
          <w:kern w:val="44"/>
          <w:sz w:val="32"/>
          <w:szCs w:val="32"/>
          <w:lang w:val="en-US" w:eastAsia="zh-CN"/>
        </w:rPr>
        <w:t>等文件规定的资金支出投向要求及资金分配标准，结合我省安全生产、应急管理工作实际，遵循突出重点、科学分配、绩效导向、公开透明的原则，采取因素分配法和项目管理法相结合的分配方式，合理分配项目资金</w:t>
      </w:r>
      <w:r>
        <w:rPr>
          <w:rFonts w:hint="eastAsia" w:ascii="仿宋" w:hAnsi="仿宋" w:eastAsia="仿宋"/>
          <w:bCs/>
          <w:kern w:val="44"/>
          <w:sz w:val="32"/>
          <w:szCs w:val="32"/>
          <w:lang w:eastAsia="zh-CN"/>
        </w:rPr>
        <w:t>。</w:t>
      </w:r>
    </w:p>
    <w:p w14:paraId="383E3D08">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2. 资金下达及时性</w:t>
      </w:r>
    </w:p>
    <w:p w14:paraId="7B0AAEC5">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省应急管理厅严格按照预算法及其实施条例，转移支付管理制度等规定，以及《安全生产预防和应急救援能力建设补助资金管理办法》《中央转移支付资金下达通知》等文件规定的时限分解下达项目资金，资金下达及时。其中：</w:t>
      </w:r>
    </w:p>
    <w:p w14:paraId="03C6C294">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煤矿及重点非煤矿山重大灾害风险防控支出、尾矿库风险隐患治理支出和危险化学品重大安全风险防控支出补助，省财政厅、应急管理厅在收到中央转移支付30日内，将项目资金分解下达至各设区市和县（市、区）</w:t>
      </w:r>
      <w:r>
        <w:rPr>
          <w:rFonts w:hint="eastAsia" w:ascii="仿宋" w:hAnsi="仿宋" w:eastAsia="仿宋"/>
          <w:bCs/>
          <w:kern w:val="44"/>
          <w:sz w:val="32"/>
          <w:szCs w:val="32"/>
          <w:lang w:eastAsia="zh-CN"/>
        </w:rPr>
        <w:t>有关部门，</w:t>
      </w:r>
      <w:r>
        <w:rPr>
          <w:rFonts w:hint="eastAsia" w:ascii="仿宋" w:hAnsi="仿宋" w:eastAsia="仿宋"/>
          <w:bCs/>
          <w:kern w:val="44"/>
          <w:sz w:val="32"/>
          <w:szCs w:val="32"/>
          <w:lang w:val="en-US" w:eastAsia="zh-CN"/>
        </w:rPr>
        <w:t>资金下达及时。</w:t>
      </w:r>
    </w:p>
    <w:p w14:paraId="7234239A">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根据</w:t>
      </w:r>
      <w:r>
        <w:rPr>
          <w:rFonts w:hint="eastAsia" w:ascii="仿宋" w:hAnsi="仿宋" w:eastAsia="仿宋"/>
          <w:bCs/>
          <w:kern w:val="44"/>
          <w:sz w:val="32"/>
          <w:szCs w:val="32"/>
          <w:lang w:eastAsia="zh-CN"/>
        </w:rPr>
        <w:t>《财政部关于下达2024年安全生产预防和应急救援能力建设补助资金预算（安全生产应急救援力量建设、危险化学品重大安全风险防控支出）的通知》（财资环〔2024〕65号）</w:t>
      </w:r>
      <w:r>
        <w:rPr>
          <w:rFonts w:hint="eastAsia" w:ascii="仿宋" w:hAnsi="仿宋" w:eastAsia="仿宋"/>
          <w:bCs/>
          <w:kern w:val="44"/>
          <w:sz w:val="32"/>
          <w:szCs w:val="32"/>
          <w:lang w:val="en-US" w:eastAsia="zh-CN"/>
        </w:rPr>
        <w:t>要求，</w:t>
      </w:r>
      <w:r>
        <w:rPr>
          <w:rFonts w:hint="eastAsia" w:ascii="仿宋" w:hAnsi="仿宋" w:eastAsia="仿宋"/>
          <w:bCs/>
          <w:kern w:val="44"/>
          <w:sz w:val="32"/>
          <w:szCs w:val="32"/>
          <w:lang w:eastAsia="zh-CN"/>
        </w:rPr>
        <w:t>应急演练补助资金</w:t>
      </w:r>
      <w:r>
        <w:rPr>
          <w:rFonts w:hint="eastAsia" w:ascii="仿宋" w:hAnsi="仿宋" w:eastAsia="仿宋"/>
          <w:bCs/>
          <w:kern w:val="44"/>
          <w:sz w:val="32"/>
          <w:szCs w:val="32"/>
          <w:lang w:val="en-US" w:eastAsia="zh-CN"/>
        </w:rPr>
        <w:t>需在</w:t>
      </w:r>
      <w:r>
        <w:rPr>
          <w:rFonts w:hint="eastAsia" w:ascii="仿宋" w:hAnsi="仿宋" w:eastAsia="仿宋"/>
          <w:bCs/>
          <w:kern w:val="44"/>
          <w:sz w:val="32"/>
          <w:szCs w:val="32"/>
          <w:lang w:eastAsia="zh-CN"/>
        </w:rPr>
        <w:t>收到</w:t>
      </w:r>
      <w:r>
        <w:rPr>
          <w:rFonts w:hint="eastAsia" w:ascii="仿宋" w:hAnsi="仿宋" w:eastAsia="仿宋"/>
          <w:bCs/>
          <w:kern w:val="44"/>
          <w:sz w:val="32"/>
          <w:szCs w:val="32"/>
          <w:lang w:val="en-US" w:eastAsia="zh-CN"/>
        </w:rPr>
        <w:t>中央转移支付</w:t>
      </w:r>
      <w:r>
        <w:rPr>
          <w:rFonts w:hint="eastAsia" w:ascii="仿宋" w:hAnsi="仿宋" w:eastAsia="仿宋"/>
          <w:bCs/>
          <w:kern w:val="44"/>
          <w:sz w:val="32"/>
          <w:szCs w:val="32"/>
          <w:lang w:eastAsia="zh-CN"/>
        </w:rPr>
        <w:t>通知后20个工作日内</w:t>
      </w:r>
      <w:r>
        <w:rPr>
          <w:rFonts w:hint="eastAsia" w:ascii="仿宋" w:hAnsi="仿宋" w:eastAsia="仿宋"/>
          <w:bCs/>
          <w:kern w:val="44"/>
          <w:sz w:val="32"/>
          <w:szCs w:val="32"/>
          <w:lang w:val="en-US" w:eastAsia="zh-CN"/>
        </w:rPr>
        <w:t>下拨给</w:t>
      </w:r>
      <w:r>
        <w:rPr>
          <w:rFonts w:hint="eastAsia" w:ascii="仿宋" w:hAnsi="仿宋" w:eastAsia="仿宋"/>
          <w:bCs/>
          <w:kern w:val="44"/>
          <w:sz w:val="32"/>
          <w:szCs w:val="32"/>
          <w:lang w:eastAsia="zh-CN"/>
        </w:rPr>
        <w:t>国家专业队依托单位</w:t>
      </w:r>
      <w:r>
        <w:rPr>
          <w:rFonts w:hint="eastAsia" w:ascii="仿宋" w:hAnsi="仿宋" w:eastAsia="仿宋"/>
          <w:bCs/>
          <w:kern w:val="44"/>
          <w:sz w:val="32"/>
          <w:szCs w:val="32"/>
          <w:lang w:val="en-US" w:eastAsia="zh-CN"/>
        </w:rPr>
        <w:t>；</w:t>
      </w:r>
      <w:r>
        <w:rPr>
          <w:rFonts w:hint="eastAsia" w:ascii="仿宋" w:hAnsi="仿宋" w:eastAsia="仿宋"/>
          <w:bCs/>
          <w:kern w:val="44"/>
          <w:sz w:val="32"/>
          <w:szCs w:val="32"/>
          <w:lang w:eastAsia="zh-CN"/>
        </w:rPr>
        <w:t>国家专业队</w:t>
      </w:r>
      <w:r>
        <w:rPr>
          <w:rFonts w:hint="eastAsia" w:ascii="仿宋" w:hAnsi="仿宋" w:eastAsia="仿宋"/>
          <w:bCs/>
          <w:kern w:val="44"/>
          <w:sz w:val="32"/>
          <w:szCs w:val="32"/>
          <w:lang w:val="en-US" w:eastAsia="zh-CN"/>
        </w:rPr>
        <w:t>装备采购补助需招标采购方案及招标结果报省级财政部门、应急管理部门审核通过后，按文件规定的程序拨付</w:t>
      </w: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省财政厅、应急管理厅实际在收到中央转移支付</w:t>
      </w:r>
      <w:r>
        <w:rPr>
          <w:rFonts w:hint="eastAsia" w:ascii="仿宋" w:hAnsi="仿宋" w:eastAsia="仿宋"/>
          <w:bCs/>
          <w:kern w:val="44"/>
          <w:sz w:val="32"/>
          <w:szCs w:val="32"/>
          <w:lang w:eastAsia="zh-CN"/>
        </w:rPr>
        <w:t>通知后20个工作日内</w:t>
      </w:r>
      <w:r>
        <w:rPr>
          <w:rFonts w:hint="eastAsia" w:ascii="仿宋" w:hAnsi="仿宋" w:eastAsia="仿宋"/>
          <w:bCs/>
          <w:kern w:val="44"/>
          <w:sz w:val="32"/>
          <w:szCs w:val="32"/>
          <w:lang w:val="en-US" w:eastAsia="zh-CN"/>
        </w:rPr>
        <w:t>下达应急演练补助资金</w:t>
      </w: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该项目资金财政部于2024年6月18日下达，省财政厅、应急管理厅于2024年7月10日下拨），资金下达及时。目前，除泉州石化队已完成合同签订，装备尚未到位外，其余2个国家专业队装备采购尚处于方案制定及招标阶段，该项目资金尚未分解下达。</w:t>
      </w:r>
    </w:p>
    <w:p w14:paraId="6B5992D3">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3.资金拨付合规性</w:t>
      </w:r>
    </w:p>
    <w:p w14:paraId="2845B37D">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w:t>
      </w:r>
      <w:r>
        <w:rPr>
          <w:rFonts w:hint="eastAsia" w:ascii="仿宋" w:hAnsi="仿宋" w:eastAsia="仿宋"/>
          <w:bCs/>
          <w:kern w:val="44"/>
          <w:sz w:val="32"/>
          <w:szCs w:val="32"/>
          <w:lang w:eastAsia="zh-CN"/>
        </w:rPr>
        <w:t>严格按照财政国库管理制度及国家有关政府采购制度等相关规定</w:t>
      </w:r>
      <w:r>
        <w:rPr>
          <w:rFonts w:hint="eastAsia" w:ascii="仿宋" w:hAnsi="仿宋" w:eastAsia="仿宋"/>
          <w:bCs/>
          <w:kern w:val="44"/>
          <w:sz w:val="32"/>
          <w:szCs w:val="32"/>
          <w:lang w:val="en-US" w:eastAsia="zh-CN"/>
        </w:rPr>
        <w:t>支付资金，</w:t>
      </w:r>
      <w:r>
        <w:rPr>
          <w:rFonts w:hint="default" w:ascii="仿宋" w:hAnsi="仿宋" w:eastAsia="仿宋"/>
          <w:bCs/>
          <w:kern w:val="44"/>
          <w:sz w:val="32"/>
          <w:szCs w:val="32"/>
          <w:lang w:val="en-US" w:eastAsia="zh-CN"/>
        </w:rPr>
        <w:t>资金执行过程中，未发现违规将资金从国库转入财政专户或支付到预算单位实有资金账户等问题</w:t>
      </w:r>
      <w:r>
        <w:rPr>
          <w:rFonts w:hint="eastAsia" w:ascii="仿宋" w:hAnsi="仿宋" w:eastAsia="仿宋"/>
          <w:bCs/>
          <w:kern w:val="44"/>
          <w:sz w:val="32"/>
          <w:szCs w:val="32"/>
          <w:lang w:val="en-US" w:eastAsia="zh-CN"/>
        </w:rPr>
        <w:t>，</w:t>
      </w:r>
      <w:r>
        <w:rPr>
          <w:rFonts w:hint="eastAsia" w:ascii="仿宋" w:hAnsi="仿宋" w:eastAsia="仿宋"/>
          <w:bCs/>
          <w:kern w:val="44"/>
          <w:sz w:val="32"/>
          <w:szCs w:val="32"/>
          <w:lang w:eastAsia="zh-CN"/>
        </w:rPr>
        <w:t>做到资金管理合规、资金申报手续齐全、审批程序明确、专项资金专款专用。</w:t>
      </w:r>
    </w:p>
    <w:p w14:paraId="3C14FF66">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4.资金使用规范性</w:t>
      </w:r>
    </w:p>
    <w:p w14:paraId="0D667358">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本项目资金在规定时间内</w:t>
      </w:r>
      <w:r>
        <w:rPr>
          <w:rFonts w:hint="default" w:ascii="仿宋" w:hAnsi="仿宋" w:eastAsia="仿宋"/>
          <w:bCs/>
          <w:kern w:val="44"/>
          <w:sz w:val="32"/>
          <w:szCs w:val="32"/>
          <w:lang w:val="en-US" w:eastAsia="zh-CN"/>
        </w:rPr>
        <w:t>按照下达预算的科目和项目执行，专款专用，未发现截留、挤占、挪用或擅自调整等问题，资金使用规范。</w:t>
      </w:r>
    </w:p>
    <w:p w14:paraId="65D3645C">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5.资金执行准确性</w:t>
      </w:r>
    </w:p>
    <w:p w14:paraId="0E129DBF">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w:t>
      </w:r>
      <w:r>
        <w:rPr>
          <w:rFonts w:hint="default" w:ascii="仿宋" w:hAnsi="仿宋" w:eastAsia="仿宋"/>
          <w:bCs/>
          <w:kern w:val="44"/>
          <w:sz w:val="32"/>
          <w:szCs w:val="32"/>
          <w:lang w:val="en-US" w:eastAsia="zh-CN"/>
        </w:rPr>
        <w:t>按照</w:t>
      </w:r>
      <w:r>
        <w:rPr>
          <w:rFonts w:hint="eastAsia" w:ascii="仿宋" w:hAnsi="仿宋" w:eastAsia="仿宋"/>
          <w:bCs/>
          <w:kern w:val="44"/>
          <w:sz w:val="32"/>
          <w:szCs w:val="32"/>
          <w:lang w:val="en-US" w:eastAsia="zh-CN"/>
        </w:rPr>
        <w:t>中央</w:t>
      </w:r>
      <w:r>
        <w:rPr>
          <w:rFonts w:hint="default" w:ascii="仿宋" w:hAnsi="仿宋" w:eastAsia="仿宋"/>
          <w:bCs/>
          <w:kern w:val="44"/>
          <w:sz w:val="32"/>
          <w:szCs w:val="32"/>
          <w:lang w:val="en-US" w:eastAsia="zh-CN"/>
        </w:rPr>
        <w:t>下达</w:t>
      </w:r>
      <w:r>
        <w:rPr>
          <w:rFonts w:hint="eastAsia" w:ascii="仿宋" w:hAnsi="仿宋" w:eastAsia="仿宋"/>
          <w:bCs/>
          <w:kern w:val="44"/>
          <w:sz w:val="32"/>
          <w:szCs w:val="32"/>
          <w:lang w:val="en-US" w:eastAsia="zh-CN"/>
        </w:rPr>
        <w:t>转移支付</w:t>
      </w:r>
      <w:r>
        <w:rPr>
          <w:rFonts w:hint="default" w:ascii="仿宋" w:hAnsi="仿宋" w:eastAsia="仿宋"/>
          <w:bCs/>
          <w:kern w:val="44"/>
          <w:sz w:val="32"/>
          <w:szCs w:val="32"/>
          <w:lang w:val="en-US" w:eastAsia="zh-CN"/>
        </w:rPr>
        <w:t>和</w:t>
      </w:r>
      <w:r>
        <w:rPr>
          <w:rFonts w:hint="eastAsia" w:ascii="仿宋" w:hAnsi="仿宋" w:eastAsia="仿宋"/>
          <w:bCs/>
          <w:kern w:val="44"/>
          <w:sz w:val="32"/>
          <w:szCs w:val="32"/>
          <w:lang w:val="en-US" w:eastAsia="zh-CN"/>
        </w:rPr>
        <w:t>地方财政</w:t>
      </w:r>
      <w:r>
        <w:rPr>
          <w:rFonts w:hint="default" w:ascii="仿宋" w:hAnsi="仿宋" w:eastAsia="仿宋"/>
          <w:bCs/>
          <w:kern w:val="44"/>
          <w:sz w:val="32"/>
          <w:szCs w:val="32"/>
          <w:lang w:val="en-US" w:eastAsia="zh-CN"/>
        </w:rPr>
        <w:t>预算安排的金额执行</w:t>
      </w:r>
      <w:r>
        <w:rPr>
          <w:rFonts w:hint="eastAsia" w:ascii="仿宋" w:hAnsi="仿宋" w:eastAsia="仿宋"/>
          <w:bCs/>
          <w:kern w:val="44"/>
          <w:sz w:val="32"/>
          <w:szCs w:val="32"/>
          <w:lang w:val="en-US" w:eastAsia="zh-CN"/>
        </w:rPr>
        <w:t>。其中，</w:t>
      </w:r>
      <w:r>
        <w:rPr>
          <w:rFonts w:hint="default" w:ascii="仿宋" w:hAnsi="仿宋" w:eastAsia="仿宋"/>
          <w:bCs/>
          <w:kern w:val="44"/>
          <w:sz w:val="32"/>
          <w:szCs w:val="32"/>
          <w:lang w:val="en-US" w:eastAsia="zh-CN"/>
        </w:rPr>
        <w:t>中央转移支付</w:t>
      </w:r>
      <w:r>
        <w:rPr>
          <w:rFonts w:hint="eastAsia" w:ascii="仿宋" w:hAnsi="仿宋" w:eastAsia="仿宋"/>
          <w:bCs/>
          <w:kern w:val="44"/>
          <w:sz w:val="32"/>
          <w:szCs w:val="32"/>
          <w:lang w:val="en-US" w:eastAsia="zh-CN"/>
        </w:rPr>
        <w:t>预算11045万元，预算执行金额8899万元，预算执行率80.57%；地方财政预算2798万元，预算执行金额2138万元，预算执行率76.41%。</w:t>
      </w:r>
      <w:r>
        <w:rPr>
          <w:rFonts w:hint="default" w:ascii="仿宋" w:hAnsi="仿宋" w:eastAsia="仿宋"/>
          <w:bCs/>
          <w:kern w:val="44"/>
          <w:sz w:val="32"/>
          <w:szCs w:val="32"/>
          <w:lang w:val="en-US" w:eastAsia="zh-CN"/>
        </w:rPr>
        <w:t>整体预算执行准确</w:t>
      </w:r>
      <w:r>
        <w:rPr>
          <w:rFonts w:hint="eastAsia" w:ascii="仿宋" w:hAnsi="仿宋" w:eastAsia="仿宋"/>
          <w:bCs/>
          <w:kern w:val="44"/>
          <w:sz w:val="32"/>
          <w:szCs w:val="32"/>
          <w:lang w:val="en-US" w:eastAsia="zh-CN"/>
        </w:rPr>
        <w:t>性高</w:t>
      </w:r>
      <w:r>
        <w:rPr>
          <w:rFonts w:hint="default" w:ascii="仿宋" w:hAnsi="仿宋" w:eastAsia="仿宋"/>
          <w:bCs/>
          <w:kern w:val="44"/>
          <w:sz w:val="32"/>
          <w:szCs w:val="32"/>
          <w:lang w:val="en-US" w:eastAsia="zh-CN"/>
        </w:rPr>
        <w:t>。</w:t>
      </w:r>
    </w:p>
    <w:p w14:paraId="07D5301E">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6.预算绩效管理情况</w:t>
      </w:r>
    </w:p>
    <w:p w14:paraId="7E91F09F">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省财政厅、应急管理厅根据安全生产预防和应急救援能力建设补助资金预算分配下达情况，要求各级财政部门、应急管理部门、矿山安全监管部门按照《财政部关于印发〈中央对地方专项转移支付绩效目标管理暂行办法〉的通知》（财预〔2015〕163号）要求，认真填报《中央对地方专项转移支付绩效目标申报表》，经应急管理厅审核后形成汇总的绩效目标申报表。</w:t>
      </w:r>
    </w:p>
    <w:p w14:paraId="3AC44676">
      <w:pPr>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lang w:eastAsia="zh-CN"/>
        </w:rPr>
        <w:t>省财政厅、应急管理厅在下达</w:t>
      </w:r>
      <w:r>
        <w:rPr>
          <w:rFonts w:hint="eastAsia" w:ascii="仿宋" w:hAnsi="仿宋" w:eastAsia="仿宋"/>
          <w:bCs/>
          <w:kern w:val="44"/>
          <w:sz w:val="32"/>
          <w:szCs w:val="32"/>
          <w:lang w:val="en-US" w:eastAsia="zh-CN"/>
        </w:rPr>
        <w:t>安全生产预防和应急救援能力建设补助资金</w:t>
      </w:r>
      <w:r>
        <w:rPr>
          <w:rFonts w:hint="eastAsia" w:ascii="仿宋" w:hAnsi="仿宋" w:eastAsia="仿宋"/>
          <w:bCs/>
          <w:kern w:val="44"/>
          <w:sz w:val="32"/>
          <w:szCs w:val="32"/>
          <w:lang w:eastAsia="zh-CN"/>
        </w:rPr>
        <w:t>的同时，将审核后的《中央对地方专项转移支付绩效目标申报表》一同下达给各设区市和县（市、区）</w:t>
      </w:r>
      <w:r>
        <w:rPr>
          <w:rFonts w:hint="eastAsia" w:ascii="仿宋" w:hAnsi="仿宋" w:eastAsia="仿宋"/>
          <w:bCs/>
          <w:kern w:val="44"/>
          <w:sz w:val="32"/>
          <w:szCs w:val="32"/>
          <w:lang w:val="en-US" w:eastAsia="zh-CN"/>
        </w:rPr>
        <w:t>有关部门</w:t>
      </w:r>
      <w:r>
        <w:rPr>
          <w:rFonts w:hint="eastAsia" w:ascii="仿宋" w:hAnsi="仿宋" w:eastAsia="仿宋"/>
          <w:bCs/>
          <w:kern w:val="44"/>
          <w:sz w:val="32"/>
          <w:szCs w:val="32"/>
          <w:lang w:eastAsia="zh-CN"/>
        </w:rPr>
        <w:t>，</w:t>
      </w:r>
      <w:r>
        <w:rPr>
          <w:rFonts w:hint="default" w:ascii="仿宋" w:hAnsi="仿宋" w:eastAsia="仿宋"/>
          <w:bCs/>
          <w:kern w:val="44"/>
          <w:sz w:val="32"/>
          <w:szCs w:val="32"/>
          <w:lang w:val="en-US" w:eastAsia="zh-CN"/>
        </w:rPr>
        <w:t>将有关资金纳入本级预算或对下转移支付绩效管理，按期开展绩效监控与评价工作。</w:t>
      </w:r>
    </w:p>
    <w:p w14:paraId="3AF3EABF">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7.支出责任履行情况</w:t>
      </w:r>
    </w:p>
    <w:p w14:paraId="5CDB1B37">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省应急管理厅</w:t>
      </w:r>
      <w:r>
        <w:rPr>
          <w:rFonts w:hint="default" w:ascii="仿宋" w:hAnsi="仿宋" w:eastAsia="仿宋"/>
          <w:bCs/>
          <w:kern w:val="44"/>
          <w:sz w:val="32"/>
          <w:szCs w:val="32"/>
          <w:lang w:val="en-US" w:eastAsia="zh-CN"/>
        </w:rPr>
        <w:t>严格按照财政事权和支出责任划分有关规定，与省财政厅共同办理转移支付，各项资金均经</w:t>
      </w:r>
      <w:r>
        <w:rPr>
          <w:rFonts w:hint="eastAsia" w:ascii="仿宋" w:hAnsi="仿宋" w:eastAsia="仿宋"/>
          <w:bCs/>
          <w:kern w:val="44"/>
          <w:sz w:val="32"/>
          <w:szCs w:val="32"/>
          <w:lang w:val="en-US" w:eastAsia="zh-CN"/>
        </w:rPr>
        <w:t>省应急管理厅</w:t>
      </w:r>
      <w:r>
        <w:rPr>
          <w:rFonts w:hint="default" w:ascii="仿宋" w:hAnsi="仿宋" w:eastAsia="仿宋"/>
          <w:bCs/>
          <w:kern w:val="44"/>
          <w:sz w:val="32"/>
          <w:szCs w:val="32"/>
          <w:lang w:val="en-US" w:eastAsia="zh-CN"/>
        </w:rPr>
        <w:t>党委会研究审定，支出责任履行到位，确保财政体系有效运行、财政资源优化配置。</w:t>
      </w:r>
    </w:p>
    <w:p w14:paraId="25551F81">
      <w:pPr>
        <w:pStyle w:val="41"/>
        <w:numPr>
          <w:ilvl w:val="0"/>
          <w:numId w:val="0"/>
        </w:numPr>
        <w:spacing w:line="580" w:lineRule="exact"/>
        <w:ind w:firstLine="321" w:firstLineChars="100"/>
        <w:rPr>
          <w:rFonts w:hint="default" w:ascii="楷体" w:hAnsi="楷体" w:eastAsia="楷体" w:cs="楷体"/>
          <w:b/>
          <w:color w:val="auto"/>
          <w:sz w:val="32"/>
          <w:szCs w:val="32"/>
          <w:lang w:val="en-US" w:eastAsia="zh-CN"/>
        </w:rPr>
      </w:pPr>
      <w:r>
        <w:rPr>
          <w:rFonts w:hint="eastAsia" w:ascii="楷体" w:hAnsi="楷体" w:eastAsia="楷体" w:cs="楷体"/>
          <w:b/>
          <w:color w:val="auto"/>
          <w:sz w:val="32"/>
          <w:szCs w:val="32"/>
          <w:lang w:val="en-US"/>
        </w:rPr>
        <w:t>（三）</w:t>
      </w:r>
      <w:r>
        <w:rPr>
          <w:rFonts w:hint="eastAsia" w:ascii="楷体" w:hAnsi="楷体" w:eastAsia="楷体" w:cs="楷体"/>
          <w:b/>
          <w:color w:val="auto"/>
          <w:sz w:val="32"/>
          <w:szCs w:val="32"/>
          <w:lang w:val="en-US" w:eastAsia="zh-CN"/>
        </w:rPr>
        <w:t>总体绩效目标完成情况分析</w:t>
      </w:r>
    </w:p>
    <w:p w14:paraId="15609699">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eastAsia="zh-CN"/>
        </w:rPr>
        <w:t>本项目实施内容包含</w:t>
      </w:r>
      <w:r>
        <w:rPr>
          <w:rFonts w:hint="eastAsia" w:ascii="仿宋" w:hAnsi="仿宋" w:eastAsia="仿宋"/>
          <w:bCs/>
          <w:kern w:val="44"/>
          <w:sz w:val="32"/>
          <w:szCs w:val="32"/>
          <w:lang w:val="en-US" w:eastAsia="zh-CN"/>
        </w:rPr>
        <w:t>煤矿及重点非煤矿山重大灾害风险防控、尾矿库风险隐患治理、安全生产应急救援力量建设和危险化学品重大安全风险防控</w:t>
      </w: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项目计划建设周期在6至18个月，将于2025年12月30日前陆续完成。截至2024年12月31日，本项目涵盖的各子项目均处于建设阶段，项目实施成效暂未充分显现。具体如下：</w:t>
      </w:r>
    </w:p>
    <w:p w14:paraId="59404BDA">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1. 煤矿及重点非煤矿山重大灾害风险防控支出补助项目</w:t>
      </w:r>
    </w:p>
    <w:p w14:paraId="216AC461">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煤矿及重点非煤矿山重大灾害风险防控项目总体目标为通过支持建设纳入全国性系统的煤矿瓦斯、水、火、冲击地压、顶板等重大风险监控和联网，重点非煤矿山视频智能监控子系统，金属非金属地下矿山安全监测监控系统，尾矿库在线监测系统等，提升矿山数字化、智能化安全生产预防和监管水平。</w:t>
      </w:r>
    </w:p>
    <w:p w14:paraId="2EA0DE6E">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截至2024年12月31日，</w:t>
      </w:r>
      <w:r>
        <w:rPr>
          <w:rFonts w:hint="default" w:ascii="仿宋" w:hAnsi="仿宋" w:eastAsia="仿宋"/>
          <w:bCs/>
          <w:kern w:val="44"/>
          <w:sz w:val="32"/>
          <w:szCs w:val="32"/>
          <w:lang w:val="en-US" w:eastAsia="zh-CN"/>
        </w:rPr>
        <w:t>本项目实施进展顺利</w:t>
      </w:r>
      <w:r>
        <w:rPr>
          <w:rFonts w:hint="eastAsia" w:ascii="仿宋" w:hAnsi="仿宋" w:eastAsia="仿宋"/>
          <w:bCs/>
          <w:kern w:val="44"/>
          <w:sz w:val="32"/>
          <w:szCs w:val="32"/>
          <w:lang w:val="en-US" w:eastAsia="zh-CN"/>
        </w:rPr>
        <w:t>。</w:t>
      </w:r>
      <w:r>
        <w:rPr>
          <w:rFonts w:hint="default" w:ascii="仿宋" w:hAnsi="仿宋" w:eastAsia="仿宋"/>
          <w:bCs/>
          <w:kern w:val="44"/>
          <w:sz w:val="32"/>
          <w:szCs w:val="32"/>
          <w:lang w:val="en-US" w:eastAsia="zh-CN"/>
        </w:rPr>
        <w:t>在煤矿领域</w:t>
      </w:r>
      <w:r>
        <w:rPr>
          <w:rFonts w:hint="eastAsia" w:ascii="仿宋" w:hAnsi="仿宋" w:eastAsia="仿宋"/>
          <w:bCs/>
          <w:kern w:val="44"/>
          <w:sz w:val="32"/>
          <w:szCs w:val="32"/>
          <w:lang w:val="en-US" w:eastAsia="zh-CN"/>
        </w:rPr>
        <w:t>方面</w:t>
      </w:r>
      <w:r>
        <w:rPr>
          <w:rFonts w:hint="default" w:ascii="仿宋" w:hAnsi="仿宋" w:eastAsia="仿宋"/>
          <w:bCs/>
          <w:kern w:val="44"/>
          <w:sz w:val="32"/>
          <w:szCs w:val="32"/>
          <w:lang w:val="en-US" w:eastAsia="zh-CN"/>
        </w:rPr>
        <w:t>，完成</w:t>
      </w:r>
      <w:r>
        <w:rPr>
          <w:rFonts w:hint="eastAsia" w:ascii="仿宋" w:hAnsi="仿宋" w:eastAsia="仿宋"/>
          <w:bCs/>
          <w:kern w:val="44"/>
          <w:sz w:val="32"/>
          <w:szCs w:val="32"/>
          <w:lang w:val="en-US" w:eastAsia="zh-CN"/>
        </w:rPr>
        <w:t>了</w:t>
      </w:r>
      <w:r>
        <w:rPr>
          <w:rFonts w:hint="default" w:ascii="仿宋" w:hAnsi="仿宋" w:eastAsia="仿宋"/>
          <w:bCs/>
          <w:kern w:val="44"/>
          <w:sz w:val="32"/>
          <w:szCs w:val="32"/>
          <w:lang w:val="en-US" w:eastAsia="zh-CN"/>
        </w:rPr>
        <w:t>3个煤矿的瓦斯、水、火、冲击地压等重大风险监控系统建设，并实现联网，为煤矿安全生产提供了有力保障。非煤矿山方面，</w:t>
      </w:r>
      <w:r>
        <w:rPr>
          <w:rFonts w:hint="eastAsia" w:ascii="仿宋" w:hAnsi="仿宋" w:eastAsia="仿宋"/>
          <w:bCs/>
          <w:kern w:val="44"/>
          <w:sz w:val="32"/>
          <w:szCs w:val="32"/>
          <w:lang w:val="en-US" w:eastAsia="zh-CN"/>
        </w:rPr>
        <w:t>完成了</w:t>
      </w:r>
      <w:r>
        <w:rPr>
          <w:rFonts w:hint="default" w:ascii="仿宋" w:hAnsi="仿宋" w:eastAsia="仿宋"/>
          <w:bCs/>
          <w:kern w:val="44"/>
          <w:sz w:val="32"/>
          <w:szCs w:val="32"/>
          <w:lang w:val="en-US" w:eastAsia="zh-CN"/>
        </w:rPr>
        <w:t>18个重点非煤矿山视频智能监控子系统</w:t>
      </w:r>
      <w:r>
        <w:rPr>
          <w:rFonts w:hint="eastAsia" w:ascii="仿宋" w:hAnsi="仿宋" w:eastAsia="仿宋"/>
          <w:bCs/>
          <w:kern w:val="44"/>
          <w:sz w:val="32"/>
          <w:szCs w:val="32"/>
          <w:lang w:val="en-US" w:eastAsia="zh-CN"/>
        </w:rPr>
        <w:t>及</w:t>
      </w:r>
      <w:r>
        <w:rPr>
          <w:rFonts w:hint="default" w:ascii="仿宋" w:hAnsi="仿宋" w:eastAsia="仿宋"/>
          <w:bCs/>
          <w:kern w:val="44"/>
          <w:sz w:val="32"/>
          <w:szCs w:val="32"/>
          <w:lang w:val="en-US" w:eastAsia="zh-CN"/>
        </w:rPr>
        <w:t>24个金属非金属矿山安全地下监测监控系统建成</w:t>
      </w:r>
      <w:r>
        <w:rPr>
          <w:rFonts w:hint="eastAsia" w:ascii="仿宋" w:hAnsi="仿宋" w:eastAsia="仿宋"/>
          <w:bCs/>
          <w:kern w:val="44"/>
          <w:sz w:val="32"/>
          <w:szCs w:val="32"/>
          <w:lang w:val="en-US" w:eastAsia="zh-CN"/>
        </w:rPr>
        <w:t>。</w:t>
      </w:r>
      <w:r>
        <w:rPr>
          <w:rFonts w:hint="default" w:ascii="仿宋" w:hAnsi="仿宋" w:eastAsia="仿宋"/>
          <w:bCs/>
          <w:kern w:val="44"/>
          <w:sz w:val="32"/>
          <w:szCs w:val="32"/>
          <w:lang w:val="en-US" w:eastAsia="zh-CN"/>
        </w:rPr>
        <w:t>同时，新建</w:t>
      </w:r>
      <w:r>
        <w:rPr>
          <w:rFonts w:hint="eastAsia" w:ascii="仿宋" w:hAnsi="仿宋" w:eastAsia="仿宋"/>
          <w:bCs/>
          <w:kern w:val="44"/>
          <w:sz w:val="32"/>
          <w:szCs w:val="32"/>
          <w:lang w:val="en-US" w:eastAsia="zh-CN"/>
        </w:rPr>
        <w:t>了</w:t>
      </w:r>
      <w:r>
        <w:rPr>
          <w:rFonts w:hint="default" w:ascii="仿宋" w:hAnsi="仿宋" w:eastAsia="仿宋"/>
          <w:bCs/>
          <w:kern w:val="44"/>
          <w:sz w:val="32"/>
          <w:szCs w:val="32"/>
          <w:lang w:val="en-US" w:eastAsia="zh-CN"/>
        </w:rPr>
        <w:t>1个尾矿库在线监控系统，并对32个尾矿库在线监控系统进行了升级改造。</w:t>
      </w:r>
    </w:p>
    <w:p w14:paraId="0AFB4935">
      <w:pPr>
        <w:ind w:firstLine="640" w:firstLineChars="200"/>
        <w:rPr>
          <w:rFonts w:hint="default" w:ascii="仿宋" w:hAnsi="仿宋" w:eastAsia="仿宋"/>
          <w:bCs/>
          <w:kern w:val="44"/>
          <w:sz w:val="32"/>
          <w:szCs w:val="32"/>
          <w:lang w:val="en-US" w:eastAsia="zh-CN"/>
        </w:rPr>
      </w:pPr>
      <w:r>
        <w:rPr>
          <w:rFonts w:hint="default" w:ascii="仿宋" w:hAnsi="仿宋" w:eastAsia="仿宋"/>
          <w:bCs/>
          <w:kern w:val="44"/>
          <w:sz w:val="32"/>
          <w:szCs w:val="32"/>
          <w:lang w:val="en-US" w:eastAsia="zh-CN"/>
        </w:rPr>
        <w:t>目前，项目仍在稳步推进。有1座在建矿山，正依据建设进度有序部署施工。12个重点非煤矿山的视频智能监控子系统处于施工阶段或设备采购环节，尚未完成安装；23家金属非金属矿山正在施工或采购设备，1家正在进行招投标工作，2家处于停产状态，均未完成视频智能监控子系统安装；10座尾矿库正在施工，1家正在筹措资金，尚未完成尾矿库在线监控系统的升级改造。后续，项目</w:t>
      </w:r>
      <w:r>
        <w:rPr>
          <w:rFonts w:hint="eastAsia" w:ascii="仿宋" w:hAnsi="仿宋" w:eastAsia="仿宋"/>
          <w:bCs/>
          <w:kern w:val="44"/>
          <w:sz w:val="32"/>
          <w:szCs w:val="32"/>
          <w:lang w:val="en-US" w:eastAsia="zh-CN"/>
        </w:rPr>
        <w:t>单位</w:t>
      </w:r>
      <w:r>
        <w:rPr>
          <w:rFonts w:hint="default" w:ascii="仿宋" w:hAnsi="仿宋" w:eastAsia="仿宋"/>
          <w:bCs/>
          <w:kern w:val="44"/>
          <w:sz w:val="32"/>
          <w:szCs w:val="32"/>
          <w:lang w:val="en-US" w:eastAsia="zh-CN"/>
        </w:rPr>
        <w:t>将继续全力推进各项工作，确保项目按时高质量完成</w:t>
      </w:r>
      <w:r>
        <w:rPr>
          <w:rFonts w:hint="eastAsia" w:ascii="仿宋" w:hAnsi="仿宋" w:eastAsia="仿宋"/>
          <w:bCs/>
          <w:kern w:val="44"/>
          <w:sz w:val="32"/>
          <w:szCs w:val="32"/>
          <w:lang w:val="en-US" w:eastAsia="zh-CN"/>
        </w:rPr>
        <w:t>，提升矿山数字化、智能化安全生产预防和监管水平。</w:t>
      </w:r>
    </w:p>
    <w:p w14:paraId="6C8268A2">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2. 尾矿库风险隐患治理支出补助项目</w:t>
      </w:r>
    </w:p>
    <w:p w14:paraId="13486B1A">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尾矿库风险隐患治理项目总体目标为在全面摸清尾矿库安全环境风险的基础上，按照尾矿库闭库相关法律法规及技术规范，对该尾矿库实施闭库销号治理，通过坝坡整治、改造排洪系统、改造防渗设施等措施全面提升尾矿库安全风险防控能力，恢复生态环境，消除安全隐患。</w:t>
      </w:r>
    </w:p>
    <w:p w14:paraId="619DFA0F">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截至2024年12月31日，项目已取得阶段性成果，5座尾矿库已完成销号治理。其余6座尾矿库的治理工作正按照既定计划有序推进中。目前项目成效尚未完全彰显，但随着各项治理工作的持续深入，尾矿库的安全水平与生态环境状况必将得到显著改善。</w:t>
      </w:r>
    </w:p>
    <w:p w14:paraId="5EDF12AE">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3. 危险化学品重大安全风险防控支出补助项目</w:t>
      </w:r>
    </w:p>
    <w:p w14:paraId="6E751422">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危险化学品重大安全风险防控项目总体目标为在统筹推动本聚集区(化工园区)内化工企业按照要求建立安全风险智能化管控平台的基础上，通过实施化工产业聚集区重大风险防控项目，建立并有效应用本聚集区(化工园区)危化品安全风险智能化管控平台，配置完善本聚集区(化工园区)公共区域易燃易爆有毒有害气体泄漏监测管控设备，探索建立危险化学品安全预防控制体系，提升危险化学品重大安全风险管控能力。</w:t>
      </w:r>
    </w:p>
    <w:p w14:paraId="0C359762">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截至2024年12月31日，我省危险化学品重大安全风险防控项目正稳步推进，1个聚集区安全风险智能化管控平台以及6个聚集区安全风险智能化管控平台功能模块已建设完成。同时，70%的聚集区内危险化学品企业已完成安全风险智能化管控平台的建设，50%的聚集区内化工企业已将平台数据接入到聚集区安全风险智能化管控平台。目前项目尚处于建设阶段，但随着危险化学品安全预防控制体系建成并投入运用，危险化学品重大安全风险管控能力将得到有效提升。</w:t>
      </w:r>
    </w:p>
    <w:p w14:paraId="7DE260D0">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4. 安全生产应急救援力量建设补助项目</w:t>
      </w:r>
    </w:p>
    <w:p w14:paraId="40894782">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安全生产应急救援力量建设项目总体目标为一是完成项目下达装备的采购、项目验收，装备管理更加规范，队伍先进适用装备的应用水平显著提升，反应更加灵敏、处置更加有力，危化救援能力进一步提升，满足华东地区重特大事故灾害救援需要。二是通过定期开展力量集结、战斗编程、通信联络、组织指挥等应急救援业务训练和模拟实战演练，跨区域、多灾种联动联训，进一步提高队伍快速出动、现场实战能力、救援协同能力以及队伍长时间、远距离救援自我保障能力。</w:t>
      </w:r>
    </w:p>
    <w:p w14:paraId="1DFDB9E9">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国家专业队装备采购方面，按照国家相关文件要求，国家专业队装备采购需经过严格的招投标和审核流程。截至2024年12月31日，装备采购工作整体处于前期准备阶段。其中，泉州石化队已完成合同签订，但由于装备尚未到位，整体采购工作的成效暂未显现。</w:t>
      </w:r>
    </w:p>
    <w:p w14:paraId="39B1366C">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应急救援演练方面，截至2024年12月31日，三支国家专业队均按计划定期开展了应急救援业务训练和模拟实战演练，内容涵盖力量集结、战斗编程、通信联络和组织指挥等关键环节，并积极参与跨区域、多灾种联动联训。应急演练实现了队伍全员100%参与，有效提升了队伍的快速出动能力、现场实战能力、救援协同能力，以及长时间、远距离救援的自我保障能力。在响应应急管理部指挥调动方面，队伍均能及时赶赴现场救援，训练与演练工作成效显著。</w:t>
      </w:r>
    </w:p>
    <w:p w14:paraId="41302E22">
      <w:pPr>
        <w:pStyle w:val="41"/>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（四）绩效指标完成情况分析</w:t>
      </w:r>
    </w:p>
    <w:p w14:paraId="1E3537C7">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由于各子项目计划于2025年12月31日前陆续完工，目前项目处于建设阶段，大部分绩效目标尚未完成，具体绩效指标完成情况</w:t>
      </w:r>
      <w:r>
        <w:rPr>
          <w:rFonts w:hint="eastAsia" w:ascii="仿宋" w:hAnsi="仿宋" w:eastAsia="仿宋"/>
          <w:bCs/>
          <w:kern w:val="44"/>
          <w:sz w:val="32"/>
          <w:szCs w:val="32"/>
          <w:lang w:eastAsia="zh-CN"/>
        </w:rPr>
        <w:t>详见附表1</w:t>
      </w:r>
      <w:r>
        <w:rPr>
          <w:rFonts w:hint="eastAsia" w:ascii="仿宋" w:hAnsi="仿宋" w:eastAsia="仿宋"/>
          <w:bCs/>
          <w:kern w:val="44"/>
          <w:sz w:val="32"/>
          <w:szCs w:val="32"/>
          <w:lang w:val="en-US" w:eastAsia="zh-CN"/>
        </w:rPr>
        <w:t>-4。</w:t>
      </w:r>
    </w:p>
    <w:p w14:paraId="46034ABB">
      <w:pPr>
        <w:pStyle w:val="4"/>
        <w:spacing w:before="0" w:after="0" w:line="240" w:lineRule="auto"/>
        <w:ind w:firstLine="643" w:firstLineChars="200"/>
        <w:rPr>
          <w:rFonts w:hint="default" w:ascii="仿宋" w:hAnsi="仿宋" w:eastAsia="仿宋" w:cs="仿宋"/>
          <w:b/>
          <w:bCs w:val="0"/>
          <w:lang w:val="en-US" w:eastAsia="zh-CN"/>
        </w:rPr>
      </w:pPr>
      <w:r>
        <w:rPr>
          <w:rFonts w:hint="eastAsia" w:ascii="仿宋" w:hAnsi="仿宋" w:eastAsia="仿宋" w:cs="仿宋"/>
          <w:b/>
          <w:bCs w:val="0"/>
          <w:lang w:val="en-US" w:eastAsia="zh-CN"/>
        </w:rPr>
        <w:t>1.煤矿及重点非煤矿山重大灾害风险防控支出补助项目</w:t>
      </w:r>
    </w:p>
    <w:p w14:paraId="74878253">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eastAsia="zh-CN"/>
        </w:rPr>
        <w:t>（1）</w:t>
      </w:r>
      <w:r>
        <w:rPr>
          <w:rFonts w:hint="eastAsia" w:ascii="仿宋" w:hAnsi="仿宋" w:eastAsia="仿宋"/>
          <w:bCs/>
          <w:kern w:val="44"/>
          <w:sz w:val="32"/>
          <w:szCs w:val="32"/>
          <w:lang w:val="en-US" w:eastAsia="zh-CN"/>
        </w:rPr>
        <w:t>产出指标完成情况分析</w:t>
      </w:r>
    </w:p>
    <w:p w14:paraId="3742ED9B">
      <w:pPr>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lang w:eastAsia="zh-CN"/>
        </w:rPr>
        <w:t>①数量指标完成情况</w:t>
      </w:r>
    </w:p>
    <w:p w14:paraId="4B93255C">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煤矿及重点非煤矿山重大灾害风险防控支出项目制定的4个数量指标，均在有序推进中，预计2025年6月30日前能完成，具体如下：</w:t>
      </w:r>
    </w:p>
    <w:p w14:paraId="0E5AD4B1">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本项目制定的“煤矿瓦斯、水、火、冲击地压等重大风险监控和联网”目标值≥4个。截至2024年12月31日，本项目完成了3个煤矿瓦斯、水、火、冲击地压等重大风险监控和联网（尚未验收），尚</w:t>
      </w:r>
      <w:r>
        <w:rPr>
          <w:rFonts w:hint="default" w:ascii="仿宋" w:hAnsi="仿宋" w:eastAsia="仿宋"/>
          <w:bCs/>
          <w:kern w:val="44"/>
          <w:sz w:val="32"/>
          <w:szCs w:val="32"/>
          <w:lang w:val="en-US" w:eastAsia="zh-CN"/>
        </w:rPr>
        <w:t>有1</w:t>
      </w:r>
      <w:r>
        <w:rPr>
          <w:rFonts w:hint="eastAsia" w:ascii="仿宋" w:hAnsi="仿宋" w:eastAsia="仿宋"/>
          <w:bCs/>
          <w:kern w:val="44"/>
          <w:sz w:val="32"/>
          <w:szCs w:val="32"/>
          <w:lang w:val="en-US" w:eastAsia="zh-CN"/>
        </w:rPr>
        <w:t>个</w:t>
      </w:r>
      <w:r>
        <w:rPr>
          <w:rFonts w:hint="default" w:ascii="仿宋" w:hAnsi="仿宋" w:eastAsia="仿宋"/>
          <w:bCs/>
          <w:kern w:val="44"/>
          <w:sz w:val="32"/>
          <w:szCs w:val="32"/>
          <w:lang w:val="en-US" w:eastAsia="zh-CN"/>
        </w:rPr>
        <w:t>在建矿山，正依据建设进度有序部署施工</w:t>
      </w:r>
      <w:r>
        <w:rPr>
          <w:rFonts w:hint="eastAsia" w:ascii="仿宋" w:hAnsi="仿宋" w:eastAsia="仿宋"/>
          <w:bCs/>
          <w:kern w:val="44"/>
          <w:sz w:val="32"/>
          <w:szCs w:val="32"/>
          <w:lang w:val="en-US" w:eastAsia="zh-CN"/>
        </w:rPr>
        <w:t>。</w:t>
      </w:r>
    </w:p>
    <w:p w14:paraId="2F100E38">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本项目制定的“重点非煤矿山视频智能监控子系统”目标值≥30个。截至2024年12月31日，本项目完成了18个重点非煤矿山视频智能监控子系统建设，目标完成率为60%。尚有</w:t>
      </w:r>
      <w:r>
        <w:rPr>
          <w:rFonts w:hint="default" w:ascii="仿宋" w:hAnsi="仿宋" w:eastAsia="仿宋"/>
          <w:bCs/>
          <w:kern w:val="44"/>
          <w:sz w:val="32"/>
          <w:szCs w:val="32"/>
          <w:lang w:val="en-US" w:eastAsia="zh-CN"/>
        </w:rPr>
        <w:t>12个重点非煤矿山的视频智能监控子系统处于施工阶段或设备采购环节，尚未完成安装</w:t>
      </w:r>
      <w:r>
        <w:rPr>
          <w:rFonts w:hint="eastAsia" w:ascii="仿宋" w:hAnsi="仿宋" w:eastAsia="仿宋"/>
          <w:bCs/>
          <w:kern w:val="44"/>
          <w:sz w:val="32"/>
          <w:szCs w:val="32"/>
          <w:lang w:val="en-US" w:eastAsia="zh-CN"/>
        </w:rPr>
        <w:t>。</w:t>
      </w:r>
    </w:p>
    <w:p w14:paraId="6461F825">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地下金属非金属矿山安全监测监控系统”目标值≥50个。截至2024年12月31日，本项目完成了24个地下金属非金属矿山安全监测监控系统建设，目标完成率为48%。尚有23个地下金属非金属矿山安全监测监控系统正在施工或采购设备、1个正在招投标、2个停产。</w:t>
      </w:r>
    </w:p>
    <w:p w14:paraId="69899EA4">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新建尾矿库在线监控系统”目标值≥1个，“升级改造尾矿库在线监控系统”目标值≥43个。截至2024年12月31日，本项目完成新建尾矿库在线监控系统1个，目标完成率100%；升级改造尾矿库在线监控系统32个，目标完成率74.42%。尚有10个尾矿库在线监控系统正在升级改造施工中，1个正在筹措资金。</w:t>
      </w:r>
    </w:p>
    <w:p w14:paraId="63AE4E8B">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eastAsia="zh-CN"/>
        </w:rPr>
        <w:t>②</w:t>
      </w:r>
      <w:r>
        <w:rPr>
          <w:rFonts w:hint="eastAsia" w:ascii="仿宋" w:hAnsi="仿宋" w:eastAsia="仿宋"/>
          <w:bCs/>
          <w:kern w:val="44"/>
          <w:sz w:val="32"/>
          <w:szCs w:val="32"/>
          <w:lang w:val="en-US" w:eastAsia="zh-CN"/>
        </w:rPr>
        <w:t>质量指标完成情况</w:t>
      </w:r>
    </w:p>
    <w:p w14:paraId="1572151F">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本项目制定的“验收通过率”目标值=100%，“联网在线率”目标值=100%。这两个质量指标将于项目竣工验收后统一考核。</w:t>
      </w:r>
    </w:p>
    <w:p w14:paraId="1BD43F72">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eastAsia="zh-CN"/>
        </w:rPr>
        <w:t>③</w:t>
      </w:r>
      <w:r>
        <w:rPr>
          <w:rFonts w:hint="eastAsia" w:ascii="仿宋" w:hAnsi="仿宋" w:eastAsia="仿宋"/>
          <w:bCs/>
          <w:kern w:val="44"/>
          <w:sz w:val="32"/>
          <w:szCs w:val="32"/>
          <w:lang w:val="en-US" w:eastAsia="zh-CN"/>
        </w:rPr>
        <w:t>时效指标完成情况</w:t>
      </w:r>
    </w:p>
    <w:p w14:paraId="43A4C80F">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本项目制定的“进度完成率”目标值=100%。截至2024年12月31日，本项目</w:t>
      </w:r>
      <w:r>
        <w:rPr>
          <w:rFonts w:hint="default" w:ascii="仿宋" w:hAnsi="仿宋" w:eastAsia="仿宋"/>
          <w:bCs/>
          <w:kern w:val="44"/>
          <w:sz w:val="32"/>
          <w:szCs w:val="32"/>
          <w:lang w:val="en-US" w:eastAsia="zh-CN"/>
        </w:rPr>
        <w:t>完成</w:t>
      </w:r>
      <w:r>
        <w:rPr>
          <w:rFonts w:hint="eastAsia" w:ascii="仿宋" w:hAnsi="仿宋" w:eastAsia="仿宋"/>
          <w:bCs/>
          <w:kern w:val="44"/>
          <w:sz w:val="32"/>
          <w:szCs w:val="32"/>
          <w:lang w:val="en-US" w:eastAsia="zh-CN"/>
        </w:rPr>
        <w:t>了</w:t>
      </w:r>
      <w:r>
        <w:rPr>
          <w:rFonts w:hint="default" w:ascii="仿宋" w:hAnsi="仿宋" w:eastAsia="仿宋"/>
          <w:bCs/>
          <w:kern w:val="44"/>
          <w:sz w:val="32"/>
          <w:szCs w:val="32"/>
          <w:lang w:val="en-US" w:eastAsia="zh-CN"/>
        </w:rPr>
        <w:t>3个煤矿的瓦斯、水、火、冲击地压等重大风险监控系统建设</w:t>
      </w:r>
      <w:r>
        <w:rPr>
          <w:rFonts w:hint="eastAsia" w:ascii="仿宋" w:hAnsi="仿宋" w:eastAsia="仿宋"/>
          <w:bCs/>
          <w:kern w:val="44"/>
          <w:sz w:val="32"/>
          <w:szCs w:val="32"/>
          <w:lang w:val="en-US" w:eastAsia="zh-CN"/>
        </w:rPr>
        <w:t>和</w:t>
      </w:r>
      <w:r>
        <w:rPr>
          <w:rFonts w:hint="default" w:ascii="仿宋" w:hAnsi="仿宋" w:eastAsia="仿宋"/>
          <w:bCs/>
          <w:kern w:val="44"/>
          <w:sz w:val="32"/>
          <w:szCs w:val="32"/>
          <w:lang w:val="en-US" w:eastAsia="zh-CN"/>
        </w:rPr>
        <w:t>联网</w:t>
      </w:r>
      <w:r>
        <w:rPr>
          <w:rFonts w:hint="eastAsia" w:ascii="仿宋" w:hAnsi="仿宋" w:eastAsia="仿宋"/>
          <w:bCs/>
          <w:kern w:val="44"/>
          <w:sz w:val="32"/>
          <w:szCs w:val="32"/>
          <w:lang w:val="en-US" w:eastAsia="zh-CN"/>
        </w:rPr>
        <w:t>，</w:t>
      </w:r>
      <w:r>
        <w:rPr>
          <w:rFonts w:hint="default" w:ascii="仿宋" w:hAnsi="仿宋" w:eastAsia="仿宋"/>
          <w:bCs/>
          <w:kern w:val="44"/>
          <w:sz w:val="32"/>
          <w:szCs w:val="32"/>
          <w:lang w:val="en-US" w:eastAsia="zh-CN"/>
        </w:rPr>
        <w:t>建成</w:t>
      </w:r>
      <w:r>
        <w:rPr>
          <w:rFonts w:hint="eastAsia" w:ascii="仿宋" w:hAnsi="仿宋" w:eastAsia="仿宋"/>
          <w:bCs/>
          <w:kern w:val="44"/>
          <w:sz w:val="32"/>
          <w:szCs w:val="32"/>
          <w:lang w:val="en-US" w:eastAsia="zh-CN"/>
        </w:rPr>
        <w:t>了</w:t>
      </w:r>
      <w:r>
        <w:rPr>
          <w:rFonts w:hint="default" w:ascii="仿宋" w:hAnsi="仿宋" w:eastAsia="仿宋"/>
          <w:bCs/>
          <w:kern w:val="44"/>
          <w:sz w:val="32"/>
          <w:szCs w:val="32"/>
          <w:lang w:val="en-US" w:eastAsia="zh-CN"/>
        </w:rPr>
        <w:t>18个重点非煤矿山视频智能监控子系统</w:t>
      </w:r>
      <w:r>
        <w:rPr>
          <w:rFonts w:hint="eastAsia" w:ascii="仿宋" w:hAnsi="仿宋" w:eastAsia="仿宋"/>
          <w:bCs/>
          <w:kern w:val="44"/>
          <w:sz w:val="32"/>
          <w:szCs w:val="32"/>
          <w:lang w:val="en-US" w:eastAsia="zh-CN"/>
        </w:rPr>
        <w:t>及</w:t>
      </w:r>
      <w:r>
        <w:rPr>
          <w:rFonts w:hint="default" w:ascii="仿宋" w:hAnsi="仿宋" w:eastAsia="仿宋"/>
          <w:bCs/>
          <w:kern w:val="44"/>
          <w:sz w:val="32"/>
          <w:szCs w:val="32"/>
          <w:lang w:val="en-US" w:eastAsia="zh-CN"/>
        </w:rPr>
        <w:t>24个金属非金属矿山安全地下监测监控系统</w:t>
      </w:r>
      <w:r>
        <w:rPr>
          <w:rFonts w:hint="eastAsia" w:ascii="仿宋" w:hAnsi="仿宋" w:eastAsia="仿宋"/>
          <w:bCs/>
          <w:kern w:val="44"/>
          <w:sz w:val="32"/>
          <w:szCs w:val="32"/>
          <w:lang w:val="en-US" w:eastAsia="zh-CN"/>
        </w:rPr>
        <w:t>，</w:t>
      </w:r>
      <w:r>
        <w:rPr>
          <w:rFonts w:hint="default" w:ascii="仿宋" w:hAnsi="仿宋" w:eastAsia="仿宋"/>
          <w:bCs/>
          <w:kern w:val="44"/>
          <w:sz w:val="32"/>
          <w:szCs w:val="32"/>
          <w:lang w:val="en-US" w:eastAsia="zh-CN"/>
        </w:rPr>
        <w:t>新建</w:t>
      </w:r>
      <w:r>
        <w:rPr>
          <w:rFonts w:hint="eastAsia" w:ascii="仿宋" w:hAnsi="仿宋" w:eastAsia="仿宋"/>
          <w:bCs/>
          <w:kern w:val="44"/>
          <w:sz w:val="32"/>
          <w:szCs w:val="32"/>
          <w:lang w:val="en-US" w:eastAsia="zh-CN"/>
        </w:rPr>
        <w:t>了</w:t>
      </w:r>
      <w:r>
        <w:rPr>
          <w:rFonts w:hint="default" w:ascii="仿宋" w:hAnsi="仿宋" w:eastAsia="仿宋"/>
          <w:bCs/>
          <w:kern w:val="44"/>
          <w:sz w:val="32"/>
          <w:szCs w:val="32"/>
          <w:lang w:val="en-US" w:eastAsia="zh-CN"/>
        </w:rPr>
        <w:t>1个尾矿库在线监控系统，</w:t>
      </w:r>
      <w:r>
        <w:rPr>
          <w:rFonts w:hint="eastAsia" w:ascii="仿宋" w:hAnsi="仿宋" w:eastAsia="仿宋"/>
          <w:bCs/>
          <w:kern w:val="44"/>
          <w:sz w:val="32"/>
          <w:szCs w:val="32"/>
          <w:lang w:val="en-US" w:eastAsia="zh-CN"/>
        </w:rPr>
        <w:t>完成了</w:t>
      </w:r>
      <w:r>
        <w:rPr>
          <w:rFonts w:hint="default" w:ascii="仿宋" w:hAnsi="仿宋" w:eastAsia="仿宋"/>
          <w:bCs/>
          <w:kern w:val="44"/>
          <w:sz w:val="32"/>
          <w:szCs w:val="32"/>
          <w:lang w:val="en-US" w:eastAsia="zh-CN"/>
        </w:rPr>
        <w:t>32个尾矿库在线监控系统</w:t>
      </w:r>
      <w:r>
        <w:rPr>
          <w:rFonts w:hint="eastAsia" w:ascii="仿宋" w:hAnsi="仿宋" w:eastAsia="仿宋"/>
          <w:bCs/>
          <w:kern w:val="44"/>
          <w:sz w:val="32"/>
          <w:szCs w:val="32"/>
          <w:lang w:val="en-US" w:eastAsia="zh-CN"/>
        </w:rPr>
        <w:t>的</w:t>
      </w:r>
      <w:r>
        <w:rPr>
          <w:rFonts w:hint="default" w:ascii="仿宋" w:hAnsi="仿宋" w:eastAsia="仿宋"/>
          <w:bCs/>
          <w:kern w:val="44"/>
          <w:sz w:val="32"/>
          <w:szCs w:val="32"/>
          <w:lang w:val="en-US" w:eastAsia="zh-CN"/>
        </w:rPr>
        <w:t>升级改造</w:t>
      </w:r>
      <w:r>
        <w:rPr>
          <w:rFonts w:hint="eastAsia" w:ascii="仿宋" w:hAnsi="仿宋" w:eastAsia="仿宋"/>
          <w:bCs/>
          <w:kern w:val="44"/>
          <w:sz w:val="32"/>
          <w:szCs w:val="32"/>
          <w:lang w:val="en-US" w:eastAsia="zh-CN"/>
        </w:rPr>
        <w:t>，进度完成率为60.90%，预计2025年6月30日前能完成。</w:t>
      </w:r>
    </w:p>
    <w:p w14:paraId="6280F556">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（2）效益指标完成情况分析</w:t>
      </w:r>
    </w:p>
    <w:p w14:paraId="219B2A54">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本项目制定的社会效益指标“矿山安全风险防控水平”目标值为“提高”，可持续影响指标“矿山安全监管监察效能”目标值为“提高”。这两个效益指标将于项目竣工验收后统一考核。</w:t>
      </w:r>
    </w:p>
    <w:p w14:paraId="1CE85E3A">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（3）满意度指标完成情况分析</w:t>
      </w:r>
    </w:p>
    <w:p w14:paraId="7317540E">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本项目制定的“服务对象满意度指标”目标值≥90%，将于项目完成后统一考核。</w:t>
      </w:r>
    </w:p>
    <w:p w14:paraId="2A924EB1">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2. 尾矿库风险隐患治理支出补助项目</w:t>
      </w:r>
    </w:p>
    <w:p w14:paraId="0DAA997F">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eastAsia="zh-CN"/>
        </w:rPr>
        <w:t>（1）</w:t>
      </w:r>
      <w:r>
        <w:rPr>
          <w:rFonts w:hint="eastAsia" w:ascii="仿宋" w:hAnsi="仿宋" w:eastAsia="仿宋"/>
          <w:bCs/>
          <w:kern w:val="44"/>
          <w:sz w:val="32"/>
          <w:szCs w:val="32"/>
          <w:lang w:val="en-US" w:eastAsia="zh-CN"/>
        </w:rPr>
        <w:t>产出指标完成情况分析</w:t>
      </w:r>
    </w:p>
    <w:p w14:paraId="127E7F59">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①质量指标完成情况</w:t>
      </w:r>
    </w:p>
    <w:p w14:paraId="3125EC2C">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尾矿库风险隐患治理支出补助项目制定了4个质量指标，截至2024年12月31日，均在有序推进中，预计2025年6月30日前能完成，具体如下：</w:t>
      </w:r>
    </w:p>
    <w:p w14:paraId="6D340C52">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隐患治理率”目标值=100%，“单项工程合格率”目标值=100%。截至2024年12月31日，本项目计划补助的11座尾矿库风险隐患治理，已竣工验收5座，尚有6座尾矿库的风险隐患治理在有序推进中，“隐患治理率”和“单项工程合格率”的完成值均为45.45%。</w:t>
      </w:r>
    </w:p>
    <w:p w14:paraId="0EB89A99">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坝体抗滑稳定性系数K”和“防洪设防标准”两个质量指标，其中，5座已完工验收的尾矿库，其质量指标“坝体抗滑稳定性系数K”和“防洪设防标准”的目标值均已完成；6座未完工尾矿库的质量指标“坝体抗滑稳定性系数K”和“防洪设防标准”将于项目竣工验收后统一考核。</w:t>
      </w:r>
    </w:p>
    <w:p w14:paraId="2703C50E">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②时效指标完成情况</w:t>
      </w:r>
    </w:p>
    <w:p w14:paraId="66FB3B34">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尾矿库风险隐患治理支出补助项目制定了2个时效指标，截至2024年12月31日，均在有序推进中，预计2025年6月30日前能完成，具体如下：</w:t>
      </w:r>
    </w:p>
    <w:p w14:paraId="37DD9592">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了“建设周期”和“完成销号时间”两个时效指标，其中，5座已完工验收的尾矿库，均在计划的“建设周期”和“完成销号时间”内完成；6座未完工的尾矿库除3座因土地问题，申请延期至2025年6月30日完成外，其余3座的“建设周期”和“完成销号时间”均按计划实施。</w:t>
      </w:r>
    </w:p>
    <w:p w14:paraId="4B411E27">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2</w:t>
      </w: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效益指标完成情况分析</w:t>
      </w:r>
    </w:p>
    <w:p w14:paraId="45DA3007">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本项目制定的“滩面植被率”和“防渗效果”社会效益指标，因项目尚处于建设期，社会效益还不明显，将于项目实施完成后统一考核，预计2025年6月30日前能全部完成。</w:t>
      </w:r>
    </w:p>
    <w:p w14:paraId="74977ED5">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3. 安全生产应急救援力量建设补助项目</w:t>
      </w:r>
    </w:p>
    <w:p w14:paraId="712E3D3D">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（1）产出指标完成情况分析</w:t>
      </w:r>
    </w:p>
    <w:p w14:paraId="567C7F8A">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①数量指标完成情况</w:t>
      </w:r>
    </w:p>
    <w:p w14:paraId="02D826DB">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安全生产应急救援力量建设补助项目制定了3个数量指标，已完成2个，尚有1个在有序推进中，预计2025年12月31日前能完成，具体如下：</w:t>
      </w:r>
    </w:p>
    <w:p w14:paraId="723CBAE8">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支持建设国家矿山应急救援队伍”目标值=1个，“支持建设国家危化应急救援队伍”目标值=2个。闽财指〔2024〕559号文2024年7月10日下达的893万元，主要用于国家矿山应急救援福建队（以下简称“福建队”）、国家危险化学品应急救援泉州石化队（以下简称“泉州石化队”）和国家危险化学品应急救援古雷队（以下简称“古雷队”）应急演练补助，该目标已完成。</w:t>
      </w:r>
    </w:p>
    <w:p w14:paraId="2E481055">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为危化队配备装备”目标值=10台/套。根据国家相关文件规定，国家专业队的装备采购工作必须遵循严格的招投标程序，并接受严谨的审核流程。装备采购补助资金的下拨，需在国家专业队依托单位向福建省财政厅、应急管理厅提交装备招标采购方案及招标结果，并经审核通过后方可执行。截至2024年12月31日，泉州石化队已完成合同签订，但装备尚未到位。其余两个专业队目前正处于装备采购方案审核与招标阶段，整个项目按计划有序推进。</w:t>
      </w:r>
    </w:p>
    <w:p w14:paraId="6D96CC50">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②质量指标完成情况</w:t>
      </w:r>
    </w:p>
    <w:p w14:paraId="76D7FB03">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安全生产应急救援力量建设补助项目制定的7个质量指标，已完成3个，尚有4个在有序推进中，预计2025年12月31日前能完成，具体如下：</w:t>
      </w:r>
    </w:p>
    <w:p w14:paraId="41672060">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事故灾害发生时，队伍响应应急管理部指挥调动，及时赶赴现场救援率”目标值=100%，实际完成值100%；“队伍全员参与实训演练覆盖率”目标值为全年达到100%，实际完成值为100%；“实训演练考核评估结果”目标值为合格，实际完成值为合格。</w:t>
      </w:r>
    </w:p>
    <w:p w14:paraId="4FE70EDE">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各类车辆及大型装备按照国家安全生产应急救援队伍有关标志标识规范进行涂装”“各类车辆及大型装备安装数据采集终端，能够接入应急管理部大型救援装备指挥控制系统”“队员装备操作培训通过率”“验收通过率”这四个质量指标将于项目完成后统一考核。</w:t>
      </w:r>
    </w:p>
    <w:p w14:paraId="5D8D3810">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③时效指标完成情况</w:t>
      </w:r>
    </w:p>
    <w:p w14:paraId="33314079">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安全生产应急救援力量建设补助项目制定的3个时效指标，已完成2个，尚有1个在有序推进中，预计2025年12月31日前能完成，具体如下：</w:t>
      </w:r>
    </w:p>
    <w:p w14:paraId="36C028B0">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本项目制定的“实训演练计划完成率”目标值=100%，实际完成值100%；“无补给状态下自我保障时间”目标值≥72小时，实际完成值72小时；目标已完成。</w:t>
      </w:r>
    </w:p>
    <w:p w14:paraId="51D533F1">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本项目制定的“建设周期”≤18个月。本项目预计2025年12月31日前完成，项目建设按计划推进。</w:t>
      </w:r>
    </w:p>
    <w:p w14:paraId="6218156F">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（2）效益指标完成情况分析</w:t>
      </w:r>
    </w:p>
    <w:p w14:paraId="134DBE0D">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重点行业领域生产安全事故救援能力”“在自然灾害抢险救援中发挥救援协同作用”“事故救援现场音视频、图像和数据实时传输能力”“化工装置火灾事故处置能力”和“开展预防性安全检查，助力依托企业(单位)防范化解安全风险，减少事故发生发挥作用”五个社会效益指标，因项目尚处于建设期，社会效益还不明显，将于项目实施完成后统一考核，预计2025年12月31日前能全部完成。</w:t>
      </w:r>
    </w:p>
    <w:p w14:paraId="03C3DFCC">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（3） 满意度指标完成情况分析</w:t>
      </w:r>
    </w:p>
    <w:p w14:paraId="58E56D87">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本项目制定的“服务企业在事故灾害应急救援方面对队伍的满意度”满意度指标，因项目尚处于建设期，目标值将于项目实施完成后统一考核，预计2025年12月31日前能完成。</w:t>
      </w:r>
    </w:p>
    <w:p w14:paraId="294E013D">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地方政府对队伍事故处理能力的满意度”目标值≥95%。2024年，国家危险化学品应急救援队和国家矿山应急救援队均于5月收到福建省人民政府抗震救灾指挥部暨抗震减灾联席会议办公室的感谢信，国家矿山应急救援队收到龙岩市人民政府和上杭县人民政府的感谢信，地方政府对队伍事故处理能力的满意度高，该目标值已完成。</w:t>
      </w:r>
    </w:p>
    <w:p w14:paraId="65C29320">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应急管理部对队伍的满意度”目标值≥95%。2024年5月，国家危险化学品应急救援队和国家矿山应急救援队均受到国家安全生产应急救援中心公开表扬，应急管理部对队伍的满意度高，该目标值已完成。</w:t>
      </w:r>
    </w:p>
    <w:p w14:paraId="287E8C9A">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4.危险化学品重大安全风险防控支出补助项目</w:t>
      </w:r>
    </w:p>
    <w:p w14:paraId="6665F04E">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（1）产出指标完成情况分析</w:t>
      </w:r>
    </w:p>
    <w:p w14:paraId="3EE74BAD">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①数量指标完成情况</w:t>
      </w:r>
    </w:p>
    <w:p w14:paraId="624EA5EB">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危险化学品重大安全风险防控支出补助项目制定的4个数量指标，已完成2个，其余2个在有序推进中，预计2025年6月30日前能完成。具体如下：</w:t>
      </w:r>
    </w:p>
    <w:p w14:paraId="5BD49FA9">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建设聚集区安全风险智能化管控平台”目标值=1个，“聚集区安全风险智能化管控平台功能模块”目标值≥6个。截至2024年12月31日，本项目已完成1个聚集区安全风险智能化管控平台和6个聚集区安全风险智能化管控平台功能模块的建设。目标均已完成。</w:t>
      </w:r>
    </w:p>
    <w:p w14:paraId="321650C3">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本项目制定的“聚集区内危险化学品企业安全风险智能化管控平台建设率”目标值≥90%。截至2024年12月31日，本项目聚集区内70%的危险化学品企业已完成安全风险智能化管控平台的建设，目标完成率为77.78%。</w:t>
      </w:r>
    </w:p>
    <w:p w14:paraId="69815BDA">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本项目制定的“聚集区内化工企业平台接入聚集区平台率”目标值≥90%。截至2024年12月31日，本项目聚集区内50%的化工企业已将数据接入到聚集区安全风险智能化管控平台，目标完成率为55.56%。</w:t>
      </w:r>
    </w:p>
    <w:p w14:paraId="1DE259D0">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②质量指标完成情况</w:t>
      </w:r>
    </w:p>
    <w:p w14:paraId="462E6D82">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危险化学品重大安全风险防控支出补助项目制定的4个质量指标，均在有序推进中，预计2025年6月30日前能完成。具体如下：</w:t>
      </w:r>
    </w:p>
    <w:p w14:paraId="6225291E">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基本功能建成率”目标值=100%。截至2024年12月31日，实际完成值90%，其中气云成像设备正与企业积极协调、勘探安装位置；企业人员定位已留有接口，待企业建设完成相关模块后接入，预计2025年6月30日前能完成。</w:t>
      </w:r>
    </w:p>
    <w:p w14:paraId="4382E9D6">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本项目制定的“安全等保”“网络延迟、响应时间和稳定性”“预警响应率”将于项目竣工验收后统一考核。</w:t>
      </w:r>
    </w:p>
    <w:p w14:paraId="4DD1A993">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③时效指标完成情况</w:t>
      </w:r>
    </w:p>
    <w:p w14:paraId="7E3149B7">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本项目设置的“建设周期”目标值≤1年。该项目于2024年7月开工建设，预计2025年6月底前完成，项目按计划实施。</w:t>
      </w:r>
    </w:p>
    <w:p w14:paraId="4541154D">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（2）效益指标完成情况分析</w:t>
      </w:r>
    </w:p>
    <w:p w14:paraId="2597495F">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园区重大安全风险数字化管控水平”和“园区内企业重大安全风险数字化管控水平”社会效益指标，因项目尚处于建设期，社会效益还不明显，将于项目实施完成后统一考核，预计2025年6月30日前能全部完成。</w:t>
      </w:r>
    </w:p>
    <w:p w14:paraId="0D9FE7AB">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（3）满意度指标完成情况分析</w:t>
      </w:r>
    </w:p>
    <w:p w14:paraId="15C6B81F">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本项目制定的“聚集区内企业满意度”指标，因项目尚处于建设期，该目标值将于项目实施完成后统一考核，预计2025年6月30日前能全部完成。</w:t>
      </w:r>
    </w:p>
    <w:p w14:paraId="55C23BC8">
      <w:pPr>
        <w:pStyle w:val="4"/>
        <w:spacing w:before="156" w:beforeLines="50" w:after="156" w:afterLines="50" w:line="416" w:lineRule="atLeast"/>
        <w:ind w:firstLine="640" w:firstLineChars="200"/>
        <w:jc w:val="left"/>
        <w:rPr>
          <w:rFonts w:hint="eastAsia" w:ascii="黑体" w:hAnsi="黑体" w:eastAsia="黑体" w:cs="黑体"/>
          <w:b w:val="0"/>
          <w:bCs w:val="0"/>
          <w:szCs w:val="28"/>
        </w:rPr>
      </w:pPr>
      <w:r>
        <w:rPr>
          <w:rFonts w:hint="eastAsia" w:ascii="黑体" w:hAnsi="黑体" w:eastAsia="黑体" w:cs="黑体"/>
          <w:b w:val="0"/>
          <w:bCs w:val="0"/>
          <w:szCs w:val="28"/>
        </w:rPr>
        <w:t>三、偏离绩效目标的原因和下一步改进措施</w:t>
      </w:r>
    </w:p>
    <w:p w14:paraId="77FE0914">
      <w:pPr>
        <w:pStyle w:val="41"/>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（一）偏离绩效目标的情况及原因</w:t>
      </w:r>
    </w:p>
    <w:p w14:paraId="7469E7B6">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1.预算执行偏离绩效目标</w:t>
      </w:r>
    </w:p>
    <w:p w14:paraId="4390C140">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截至</w:t>
      </w:r>
      <w:r>
        <w:rPr>
          <w:rFonts w:hint="default" w:ascii="仿宋" w:hAnsi="仿宋" w:eastAsia="仿宋"/>
          <w:bCs/>
          <w:kern w:val="44"/>
          <w:sz w:val="32"/>
          <w:szCs w:val="32"/>
          <w:lang w:val="en-US" w:eastAsia="zh-CN"/>
        </w:rPr>
        <w:t>2024</w:t>
      </w:r>
      <w:r>
        <w:rPr>
          <w:rFonts w:hint="eastAsia" w:ascii="仿宋" w:hAnsi="仿宋" w:eastAsia="仿宋"/>
          <w:bCs/>
          <w:kern w:val="44"/>
          <w:sz w:val="32"/>
          <w:szCs w:val="32"/>
          <w:lang w:val="en-US" w:eastAsia="zh-CN"/>
        </w:rPr>
        <w:t>年12月31日，本项目中央转移支付预算安排资金11045万元，实际执行金额8899万元，尚未执行金额2146万元，该预算主要用于国家专业队装备采购。目前，除泉州石化队的采购合同已签订（装备尚未到位）外，福建队和古雷队尚处于装备采购方案制定及招标阶段。按相关文件规定，该预算将于项目招标采购方案及招标结果出来、经审核通过后按规定流程拨付。</w:t>
      </w:r>
    </w:p>
    <w:p w14:paraId="1F70621D">
      <w:pPr>
        <w:ind w:firstLine="640" w:firstLineChars="200"/>
        <w:rPr>
          <w:rFonts w:hint="default" w:ascii="仿宋" w:hAnsi="仿宋" w:eastAsia="仿宋"/>
          <w:bCs/>
          <w:kern w:val="44"/>
          <w:sz w:val="32"/>
          <w:szCs w:val="32"/>
          <w:lang w:val="en-US" w:eastAsia="zh-CN"/>
        </w:rPr>
      </w:pPr>
      <w:r>
        <w:rPr>
          <w:rFonts w:hint="eastAsia" w:ascii="仿宋" w:hAnsi="仿宋" w:eastAsia="仿宋"/>
          <w:bCs/>
          <w:kern w:val="44"/>
          <w:sz w:val="32"/>
          <w:szCs w:val="32"/>
          <w:lang w:val="en-US" w:eastAsia="zh-CN"/>
        </w:rPr>
        <w:t>截至2024年12月31日，福建省地方财政预算安排资金2798万元，实际执行金额2138万元，尚未执行金额660万元，该预算主要用于尾矿库风险隐患治理。目前，11座尾矿库中已完成治理且验收合格的项目有5个，其余6个尾矿库预计2025年6月30日前能完成。该预算将于尾矿库治理项目验收合格后，按规定流程予以拨付。</w:t>
      </w:r>
    </w:p>
    <w:p w14:paraId="124CAE41">
      <w:pPr>
        <w:pStyle w:val="4"/>
        <w:spacing w:before="0" w:after="0" w:line="240" w:lineRule="auto"/>
        <w:ind w:firstLine="643" w:firstLineChars="200"/>
        <w:rPr>
          <w:rFonts w:hint="eastAsia" w:ascii="仿宋" w:hAnsi="仿宋" w:eastAsia="仿宋" w:cs="仿宋"/>
          <w:b/>
          <w:bCs w:val="0"/>
          <w:lang w:val="en-US" w:eastAsia="zh-CN"/>
        </w:rPr>
      </w:pPr>
      <w:r>
        <w:rPr>
          <w:rFonts w:hint="eastAsia" w:ascii="仿宋" w:hAnsi="仿宋" w:eastAsia="仿宋" w:cs="仿宋"/>
          <w:b/>
          <w:bCs w:val="0"/>
          <w:lang w:val="en-US" w:eastAsia="zh-CN"/>
        </w:rPr>
        <w:t>2.绩效指标完成值偏离绩效目标</w:t>
      </w:r>
    </w:p>
    <w:p w14:paraId="615E03ED">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煤矿及重点非煤矿山重大灾害风险防控支出补助项目：截至2024年12月31日，煤矿及重点非煤矿山重大灾害风险防控支出补助项目仍处于建设阶段，预计2025年6月30日前可完成。该项目总体绩效目标暂未充分显现，制定的10个三级指标，有5个绩效目标已部分完成，5个绩效目标将于项目完成后统一考核。</w:t>
      </w:r>
    </w:p>
    <w:p w14:paraId="513D2152">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尾矿库风险隐患治理支出补助项目：截至2024年12月31日，尾矿库风险隐患治理支出补助项目仍处于建设阶段，预计2025年6月30日前可完成。该项目总体绩效目标暂未充分显现；制定的8个三级指标，均在有序推进中。</w:t>
      </w:r>
    </w:p>
    <w:p w14:paraId="37DD851B">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安全生产应急救援力量建设补助项目：截至2024年12月31日，安全生产应急救援力量建设补助项目仍处于建设阶段，预计2025年12月31日前可完成。该项目总体绩效目标暂未充分显现；制定的21个三级指标，已完成7个，其余14个在有序推进中。</w:t>
      </w:r>
    </w:p>
    <w:p w14:paraId="2DA557BE">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危险化学品重大安全风险防控支出补助项目：截至2024年12月31日，危险化学品重大安全风险防控支出补助项目仍处于建设阶段，预计2025年6月30日前可完成。该项目总体绩效目标暂未充分显现；制定的12个三级指标，已完成2个，其余10个在有序推进中。</w:t>
      </w:r>
    </w:p>
    <w:p w14:paraId="1517D669">
      <w:pPr>
        <w:pStyle w:val="41"/>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（二）下一步改进措施</w:t>
      </w:r>
    </w:p>
    <w:p w14:paraId="1B294544">
      <w:pPr>
        <w:pStyle w:val="4"/>
        <w:spacing w:before="0" w:after="0" w:line="240" w:lineRule="auto"/>
        <w:ind w:firstLine="643" w:firstLineChars="200"/>
        <w:rPr>
          <w:rFonts w:hint="default" w:ascii="仿宋" w:hAnsi="仿宋" w:eastAsia="仿宋" w:cs="仿宋"/>
          <w:b/>
          <w:bCs w:val="0"/>
          <w:lang w:val="en-US" w:eastAsia="zh-CN"/>
        </w:rPr>
      </w:pPr>
      <w:r>
        <w:rPr>
          <w:rFonts w:hint="eastAsia" w:ascii="仿宋" w:hAnsi="仿宋" w:eastAsia="仿宋" w:cs="仿宋"/>
          <w:b/>
          <w:bCs w:val="0"/>
          <w:lang w:val="en-US" w:eastAsia="zh-CN"/>
        </w:rPr>
        <w:t>1.结合项目实施进度，按相关文件规定，及时拨付项目资金</w:t>
      </w:r>
    </w:p>
    <w:p w14:paraId="0F5A6B18">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国家专业队装备采购进度跟踪：一是督促国家专业队依托单位严格按照财资环〔2022〕93号）、应急〔2022〕124号文件规定和通知明确的装备购置计划，制定招标采购方案；二是按照招标投标和政府采购相关规定组织开展采购工作，并将招标采购方案及招标结果报省财政厅、应急管理厅审核；三是应急管理厅会同省财政厅核实招标结果，及时将符合政策规定的招标采购资金拨付至国家专业队依托单位，保障装备采购工作有序推进。</w:t>
      </w:r>
    </w:p>
    <w:p w14:paraId="049AA1E2">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尾矿库隐患治理施工进度跟踪：持续跟踪剩余6座尚未完成隐患治理的尾矿库施工进度，督促项目单位严格按照计划开展施工。在项目竣工验收阶段，省应急管理厅将组织相关部门对项目建设情况进行全面验收，详细审核中央转移支付、地方财政和生产经营单位资金的实际投入情况，确保资金专款专用。验收合格后，按规定流程拨付项目款，确保尾矿库隐患治理工作圆满完成。</w:t>
      </w:r>
    </w:p>
    <w:p w14:paraId="2ACA88CE">
      <w:pPr>
        <w:pStyle w:val="4"/>
        <w:spacing w:before="0" w:after="0" w:line="240" w:lineRule="auto"/>
        <w:ind w:firstLine="643" w:firstLineChars="200"/>
        <w:rPr>
          <w:rFonts w:hint="default" w:ascii="仿宋" w:hAnsi="仿宋" w:eastAsia="仿宋" w:cs="仿宋"/>
          <w:b/>
          <w:bCs w:val="0"/>
          <w:lang w:val="en-US" w:eastAsia="zh-CN"/>
        </w:rPr>
      </w:pPr>
      <w:r>
        <w:rPr>
          <w:rFonts w:hint="eastAsia" w:ascii="仿宋" w:hAnsi="仿宋" w:eastAsia="仿宋" w:cs="仿宋"/>
          <w:b/>
          <w:bCs w:val="0"/>
          <w:lang w:val="en-US" w:eastAsia="zh-CN"/>
        </w:rPr>
        <w:t>2.加快项目执行进度，确保项目目标的达成</w:t>
      </w:r>
    </w:p>
    <w:p w14:paraId="6A386DF5">
      <w:pPr>
        <w:ind w:firstLine="640" w:firstLineChars="200"/>
        <w:rPr>
          <w:rFonts w:hint="eastAsia" w:ascii="仿宋" w:hAnsi="仿宋" w:eastAsia="仿宋"/>
          <w:bCs/>
          <w:kern w:val="44"/>
          <w:sz w:val="32"/>
          <w:szCs w:val="32"/>
          <w:lang w:val="en-US" w:eastAsia="zh-CN"/>
        </w:rPr>
      </w:pPr>
      <w:r>
        <w:rPr>
          <w:rFonts w:hint="default" w:ascii="仿宋" w:hAnsi="仿宋" w:eastAsia="仿宋"/>
          <w:bCs/>
          <w:kern w:val="44"/>
          <w:sz w:val="32"/>
          <w:szCs w:val="32"/>
          <w:lang w:val="en-US" w:eastAsia="zh-CN"/>
        </w:rPr>
        <w:t>为有效应对煤矿及重点非煤矿山重大灾害风险防控</w:t>
      </w:r>
      <w:r>
        <w:rPr>
          <w:rFonts w:hint="eastAsia" w:ascii="仿宋" w:hAnsi="仿宋" w:eastAsia="仿宋"/>
          <w:bCs/>
          <w:kern w:val="44"/>
          <w:sz w:val="32"/>
          <w:szCs w:val="32"/>
          <w:lang w:val="en-US" w:eastAsia="zh-CN"/>
        </w:rPr>
        <w:t>支出、矿库风险隐患治理支出、危险化学品重大安全风险防控支出补助项目</w:t>
      </w:r>
      <w:r>
        <w:rPr>
          <w:rFonts w:hint="default" w:ascii="仿宋" w:hAnsi="仿宋" w:eastAsia="仿宋"/>
          <w:bCs/>
          <w:kern w:val="44"/>
          <w:sz w:val="32"/>
          <w:szCs w:val="32"/>
          <w:lang w:val="en-US" w:eastAsia="zh-CN"/>
        </w:rPr>
        <w:t>绩效</w:t>
      </w:r>
      <w:r>
        <w:rPr>
          <w:rFonts w:hint="eastAsia" w:ascii="仿宋" w:hAnsi="仿宋" w:eastAsia="仿宋"/>
          <w:bCs/>
          <w:kern w:val="44"/>
          <w:sz w:val="32"/>
          <w:szCs w:val="32"/>
          <w:lang w:val="en-US" w:eastAsia="zh-CN"/>
        </w:rPr>
        <w:t>指标</w:t>
      </w:r>
      <w:r>
        <w:rPr>
          <w:rFonts w:hint="default" w:ascii="仿宋" w:hAnsi="仿宋" w:eastAsia="仿宋"/>
          <w:bCs/>
          <w:kern w:val="44"/>
          <w:sz w:val="32"/>
          <w:szCs w:val="32"/>
          <w:lang w:val="en-US" w:eastAsia="zh-CN"/>
        </w:rPr>
        <w:t>未完成的</w:t>
      </w:r>
      <w:r>
        <w:rPr>
          <w:rFonts w:hint="eastAsia" w:ascii="仿宋" w:hAnsi="仿宋" w:eastAsia="仿宋"/>
          <w:bCs/>
          <w:kern w:val="44"/>
          <w:sz w:val="32"/>
          <w:szCs w:val="32"/>
          <w:lang w:val="en-US" w:eastAsia="zh-CN"/>
        </w:rPr>
        <w:t>情况</w:t>
      </w:r>
      <w:r>
        <w:rPr>
          <w:rFonts w:hint="default" w:ascii="仿宋" w:hAnsi="仿宋" w:eastAsia="仿宋"/>
          <w:bCs/>
          <w:kern w:val="44"/>
          <w:sz w:val="32"/>
          <w:szCs w:val="32"/>
          <w:lang w:val="en-US" w:eastAsia="zh-CN"/>
        </w:rPr>
        <w:t>，</w:t>
      </w:r>
      <w:r>
        <w:rPr>
          <w:rFonts w:hint="eastAsia" w:ascii="仿宋" w:hAnsi="仿宋" w:eastAsia="仿宋"/>
          <w:bCs/>
          <w:kern w:val="44"/>
          <w:sz w:val="32"/>
          <w:szCs w:val="32"/>
          <w:lang w:val="en-US" w:eastAsia="zh-CN"/>
        </w:rPr>
        <w:t>下一步改进措施</w:t>
      </w:r>
      <w:r>
        <w:rPr>
          <w:rFonts w:hint="default" w:ascii="仿宋" w:hAnsi="仿宋" w:eastAsia="仿宋"/>
          <w:bCs/>
          <w:kern w:val="44"/>
          <w:sz w:val="32"/>
          <w:szCs w:val="32"/>
          <w:lang w:val="en-US" w:eastAsia="zh-CN"/>
        </w:rPr>
        <w:t>：</w:t>
      </w:r>
      <w:r>
        <w:rPr>
          <w:rFonts w:hint="eastAsia" w:ascii="仿宋" w:hAnsi="仿宋" w:eastAsia="仿宋"/>
          <w:bCs/>
          <w:kern w:val="44"/>
          <w:sz w:val="32"/>
          <w:szCs w:val="32"/>
          <w:lang w:val="en-US" w:eastAsia="zh-CN"/>
        </w:rPr>
        <w:t>一是</w:t>
      </w:r>
      <w:r>
        <w:rPr>
          <w:rFonts w:hint="default" w:ascii="仿宋" w:hAnsi="仿宋" w:eastAsia="仿宋"/>
          <w:bCs/>
          <w:kern w:val="44"/>
          <w:sz w:val="32"/>
          <w:szCs w:val="32"/>
          <w:lang w:val="en-US" w:eastAsia="zh-CN"/>
        </w:rPr>
        <w:t>实施动态调度机制：密切跟踪</w:t>
      </w:r>
      <w:r>
        <w:rPr>
          <w:rFonts w:hint="eastAsia" w:ascii="仿宋" w:hAnsi="仿宋" w:eastAsia="仿宋"/>
          <w:bCs/>
          <w:kern w:val="44"/>
          <w:sz w:val="32"/>
          <w:szCs w:val="32"/>
          <w:lang w:val="en-US" w:eastAsia="zh-CN"/>
        </w:rPr>
        <w:t>项目实施</w:t>
      </w:r>
      <w:r>
        <w:rPr>
          <w:rFonts w:hint="default" w:ascii="仿宋" w:hAnsi="仿宋" w:eastAsia="仿宋"/>
          <w:bCs/>
          <w:kern w:val="44"/>
          <w:sz w:val="32"/>
          <w:szCs w:val="32"/>
          <w:lang w:val="en-US" w:eastAsia="zh-CN"/>
        </w:rPr>
        <w:t>进展，针对推进迟缓的项目，即刻组织专业人员前往现场，开展精准指导与帮扶工作，助力项目加速推进。</w:t>
      </w:r>
      <w:r>
        <w:rPr>
          <w:rFonts w:hint="eastAsia" w:ascii="仿宋" w:hAnsi="仿宋" w:eastAsia="仿宋"/>
          <w:bCs/>
          <w:kern w:val="44"/>
          <w:sz w:val="32"/>
          <w:szCs w:val="32"/>
          <w:lang w:val="en-US" w:eastAsia="zh-CN"/>
        </w:rPr>
        <w:t>二是</w:t>
      </w:r>
      <w:r>
        <w:rPr>
          <w:rFonts w:hint="default" w:ascii="仿宋" w:hAnsi="仿宋" w:eastAsia="仿宋"/>
          <w:bCs/>
          <w:kern w:val="44"/>
          <w:sz w:val="32"/>
          <w:szCs w:val="32"/>
          <w:lang w:val="en-US" w:eastAsia="zh-CN"/>
        </w:rPr>
        <w:t>强化过程管控力度：构建全方位、多层次的过程监督体系，对项目各个环节进行严格把控，及时发现并解决问题，保障项目始终朝着既定目标稳步前行，切实达成项目目标。</w:t>
      </w:r>
      <w:r>
        <w:rPr>
          <w:rFonts w:hint="eastAsia" w:ascii="仿宋" w:hAnsi="仿宋" w:eastAsia="仿宋"/>
          <w:bCs/>
          <w:kern w:val="44"/>
          <w:sz w:val="32"/>
          <w:szCs w:val="32"/>
          <w:lang w:val="en-US" w:eastAsia="zh-CN"/>
        </w:rPr>
        <w:t>三是</w:t>
      </w:r>
      <w:r>
        <w:rPr>
          <w:rFonts w:hint="default" w:ascii="仿宋" w:hAnsi="仿宋" w:eastAsia="仿宋"/>
          <w:bCs/>
          <w:kern w:val="44"/>
          <w:sz w:val="32"/>
          <w:szCs w:val="32"/>
          <w:lang w:val="en-US" w:eastAsia="zh-CN"/>
        </w:rPr>
        <w:t>全力推进项目实施：</w:t>
      </w:r>
      <w:r>
        <w:rPr>
          <w:rFonts w:hint="eastAsia" w:ascii="仿宋" w:hAnsi="仿宋" w:eastAsia="仿宋"/>
          <w:bCs/>
          <w:kern w:val="44"/>
          <w:sz w:val="32"/>
          <w:szCs w:val="32"/>
          <w:lang w:val="en-US" w:eastAsia="zh-CN"/>
        </w:rPr>
        <w:t>要求</w:t>
      </w:r>
      <w:r>
        <w:rPr>
          <w:rFonts w:hint="default" w:ascii="仿宋" w:hAnsi="仿宋" w:eastAsia="仿宋"/>
          <w:bCs/>
          <w:kern w:val="44"/>
          <w:sz w:val="32"/>
          <w:szCs w:val="32"/>
          <w:lang w:val="en-US" w:eastAsia="zh-CN"/>
        </w:rPr>
        <w:t>项目单位进一步增强责任感与紧迫感，调配一切可用资源，全力以赴推进各项工作</w:t>
      </w:r>
      <w:r>
        <w:rPr>
          <w:rFonts w:hint="eastAsia" w:ascii="仿宋" w:hAnsi="仿宋" w:eastAsia="仿宋"/>
          <w:bCs/>
          <w:kern w:val="44"/>
          <w:sz w:val="32"/>
          <w:szCs w:val="32"/>
          <w:lang w:val="en-US" w:eastAsia="zh-CN"/>
        </w:rPr>
        <w:t>，</w:t>
      </w:r>
      <w:r>
        <w:rPr>
          <w:rFonts w:hint="default" w:ascii="仿宋" w:hAnsi="仿宋" w:eastAsia="仿宋"/>
          <w:bCs/>
          <w:kern w:val="44"/>
          <w:sz w:val="32"/>
          <w:szCs w:val="32"/>
          <w:lang w:val="en-US" w:eastAsia="zh-CN"/>
        </w:rPr>
        <w:t>确保项目按时且高质量完成。</w:t>
      </w:r>
    </w:p>
    <w:p w14:paraId="023B53EA">
      <w:pPr>
        <w:ind w:firstLine="640" w:firstLineChars="200"/>
        <w:rPr>
          <w:rFonts w:hint="eastAsia" w:ascii="仿宋" w:hAnsi="仿宋" w:eastAsia="仿宋"/>
          <w:bCs/>
          <w:kern w:val="44"/>
          <w:sz w:val="32"/>
          <w:szCs w:val="32"/>
          <w:lang w:val="en-US" w:eastAsia="zh-CN"/>
        </w:rPr>
      </w:pPr>
      <w:r>
        <w:rPr>
          <w:rFonts w:hint="default" w:ascii="仿宋" w:hAnsi="仿宋" w:eastAsia="仿宋"/>
          <w:bCs/>
          <w:kern w:val="44"/>
          <w:sz w:val="32"/>
          <w:szCs w:val="32"/>
          <w:lang w:val="en-US" w:eastAsia="zh-CN"/>
        </w:rPr>
        <w:t>针对安全生产应急救援力量建设</w:t>
      </w:r>
      <w:r>
        <w:rPr>
          <w:rFonts w:hint="eastAsia" w:ascii="仿宋" w:hAnsi="仿宋" w:eastAsia="仿宋"/>
          <w:bCs/>
          <w:kern w:val="44"/>
          <w:sz w:val="32"/>
          <w:szCs w:val="32"/>
          <w:lang w:val="en-US" w:eastAsia="zh-CN"/>
        </w:rPr>
        <w:t>补助</w:t>
      </w:r>
      <w:r>
        <w:rPr>
          <w:rFonts w:hint="default" w:ascii="仿宋" w:hAnsi="仿宋" w:eastAsia="仿宋"/>
          <w:bCs/>
          <w:kern w:val="44"/>
          <w:sz w:val="32"/>
          <w:szCs w:val="32"/>
          <w:lang w:val="en-US" w:eastAsia="zh-CN"/>
        </w:rPr>
        <w:t>项目</w:t>
      </w:r>
      <w:r>
        <w:rPr>
          <w:rFonts w:hint="eastAsia" w:ascii="仿宋" w:hAnsi="仿宋" w:eastAsia="仿宋"/>
          <w:bCs/>
          <w:kern w:val="44"/>
          <w:sz w:val="32"/>
          <w:szCs w:val="32"/>
          <w:lang w:val="en-US" w:eastAsia="zh-CN"/>
        </w:rPr>
        <w:t>绩效</w:t>
      </w:r>
      <w:r>
        <w:rPr>
          <w:rFonts w:hint="default" w:ascii="仿宋" w:hAnsi="仿宋" w:eastAsia="仿宋"/>
          <w:bCs/>
          <w:kern w:val="44"/>
          <w:sz w:val="32"/>
          <w:szCs w:val="32"/>
          <w:lang w:val="en-US" w:eastAsia="zh-CN"/>
        </w:rPr>
        <w:t>指标未完成</w:t>
      </w:r>
      <w:r>
        <w:rPr>
          <w:rFonts w:hint="eastAsia" w:ascii="仿宋" w:hAnsi="仿宋" w:eastAsia="仿宋"/>
          <w:bCs/>
          <w:kern w:val="44"/>
          <w:sz w:val="32"/>
          <w:szCs w:val="32"/>
          <w:lang w:val="en-US" w:eastAsia="zh-CN"/>
        </w:rPr>
        <w:t>情况</w:t>
      </w:r>
      <w:r>
        <w:rPr>
          <w:rFonts w:hint="default" w:ascii="仿宋" w:hAnsi="仿宋" w:eastAsia="仿宋"/>
          <w:bCs/>
          <w:kern w:val="44"/>
          <w:sz w:val="32"/>
          <w:szCs w:val="32"/>
          <w:lang w:val="en-US" w:eastAsia="zh-CN"/>
        </w:rPr>
        <w:t>，</w:t>
      </w:r>
      <w:r>
        <w:rPr>
          <w:rFonts w:hint="eastAsia" w:ascii="仿宋" w:hAnsi="仿宋" w:eastAsia="仿宋"/>
          <w:bCs/>
          <w:kern w:val="44"/>
          <w:sz w:val="32"/>
          <w:szCs w:val="32"/>
          <w:lang w:val="en-US" w:eastAsia="zh-CN"/>
        </w:rPr>
        <w:t>下一步改进措施</w:t>
      </w:r>
      <w:r>
        <w:rPr>
          <w:rFonts w:hint="default" w:ascii="仿宋" w:hAnsi="仿宋" w:eastAsia="仿宋"/>
          <w:bCs/>
          <w:kern w:val="44"/>
          <w:sz w:val="32"/>
          <w:szCs w:val="32"/>
          <w:lang w:val="en-US" w:eastAsia="zh-CN"/>
        </w:rPr>
        <w:t>：</w:t>
      </w:r>
      <w:r>
        <w:rPr>
          <w:rFonts w:hint="eastAsia" w:ascii="仿宋" w:hAnsi="仿宋" w:eastAsia="仿宋"/>
          <w:bCs/>
          <w:kern w:val="44"/>
          <w:sz w:val="32"/>
          <w:szCs w:val="32"/>
          <w:lang w:val="en-US" w:eastAsia="zh-CN"/>
        </w:rPr>
        <w:t>一是</w:t>
      </w:r>
      <w:r>
        <w:rPr>
          <w:rFonts w:hint="default" w:ascii="仿宋" w:hAnsi="仿宋" w:eastAsia="仿宋"/>
          <w:bCs/>
          <w:kern w:val="44"/>
          <w:sz w:val="32"/>
          <w:szCs w:val="32"/>
          <w:lang w:val="en-US" w:eastAsia="zh-CN"/>
        </w:rPr>
        <w:t>加快项目执行进度</w:t>
      </w:r>
      <w:r>
        <w:rPr>
          <w:rFonts w:hint="eastAsia" w:ascii="仿宋" w:hAnsi="仿宋" w:eastAsia="仿宋"/>
          <w:bCs/>
          <w:kern w:val="44"/>
          <w:sz w:val="32"/>
          <w:szCs w:val="32"/>
          <w:lang w:val="en-US" w:eastAsia="zh-CN"/>
        </w:rPr>
        <w:t>。</w:t>
      </w:r>
      <w:r>
        <w:rPr>
          <w:rFonts w:hint="default" w:ascii="仿宋" w:hAnsi="仿宋" w:eastAsia="仿宋"/>
          <w:bCs/>
          <w:kern w:val="44"/>
          <w:sz w:val="32"/>
          <w:szCs w:val="32"/>
          <w:lang w:val="en-US" w:eastAsia="zh-CN"/>
        </w:rPr>
        <w:t>督促国家专业队依托单位，严格依照财资环〔2022〕93号、应急〔2022〕124号文件规定以及通知明确的装备购置计划，拟定招标采购方案。该方案需经省财政厅、应急管理厅审核通过后，依据招标投标和政府采购的相关规定，组织开展采购工作。</w:t>
      </w:r>
      <w:r>
        <w:rPr>
          <w:rFonts w:hint="eastAsia" w:ascii="仿宋" w:hAnsi="仿宋" w:eastAsia="仿宋"/>
          <w:bCs/>
          <w:kern w:val="44"/>
          <w:sz w:val="32"/>
          <w:szCs w:val="32"/>
          <w:lang w:val="en-US" w:eastAsia="zh-CN"/>
        </w:rPr>
        <w:t>二是</w:t>
      </w:r>
      <w:r>
        <w:rPr>
          <w:rFonts w:hint="default" w:ascii="仿宋" w:hAnsi="仿宋" w:eastAsia="仿宋"/>
          <w:bCs/>
          <w:kern w:val="44"/>
          <w:sz w:val="32"/>
          <w:szCs w:val="32"/>
          <w:lang w:val="en-US" w:eastAsia="zh-CN"/>
        </w:rPr>
        <w:t>强化过程管控</w:t>
      </w:r>
      <w:r>
        <w:rPr>
          <w:rFonts w:hint="eastAsia" w:ascii="仿宋" w:hAnsi="仿宋" w:eastAsia="仿宋"/>
          <w:bCs/>
          <w:kern w:val="44"/>
          <w:sz w:val="32"/>
          <w:szCs w:val="32"/>
          <w:lang w:val="en-US" w:eastAsia="zh-CN"/>
        </w:rPr>
        <w:t>。</w:t>
      </w:r>
      <w:r>
        <w:rPr>
          <w:rFonts w:hint="default" w:ascii="仿宋" w:hAnsi="仿宋" w:eastAsia="仿宋"/>
          <w:bCs/>
          <w:kern w:val="44"/>
          <w:sz w:val="32"/>
          <w:szCs w:val="32"/>
          <w:lang w:val="en-US" w:eastAsia="zh-CN"/>
        </w:rPr>
        <w:t>中央财政安排补助资金购置的安全生产应急救援装备，作为中央应急抢险救灾物资储备，由应急管理部负责统筹。指定国家专业队进行保管使用，并做好装备维护工作，确保装备始终处于完好状态，随时能够投入使用。国家专业队依托单位按规定做好资产登记管理，建立中央补助装备台账，对装备资产的采购、验收、入库、盘点、调用、处置等环节，实现全生命周期动态管理。同时，定期开展装备现场抽查检查工作，确保在事故灾害发生时，应急救援装备资源能够做到找得到、调得动、用得上，以此保障项目目标的顺利达成。​</w:t>
      </w:r>
    </w:p>
    <w:p w14:paraId="4E858D5E">
      <w:pPr>
        <w:pStyle w:val="4"/>
        <w:spacing w:before="156" w:beforeLines="50" w:after="156" w:afterLines="50" w:line="416" w:lineRule="atLeast"/>
        <w:ind w:firstLine="640" w:firstLineChars="200"/>
        <w:jc w:val="left"/>
        <w:rPr>
          <w:rFonts w:hint="eastAsia" w:ascii="黑体" w:hAnsi="黑体" w:eastAsia="黑体" w:cs="黑体"/>
          <w:b w:val="0"/>
          <w:bCs w:val="0"/>
          <w:szCs w:val="28"/>
        </w:rPr>
      </w:pPr>
      <w:r>
        <w:rPr>
          <w:rFonts w:hint="eastAsia" w:ascii="黑体" w:hAnsi="黑体" w:eastAsia="黑体" w:cs="黑体"/>
          <w:b w:val="0"/>
          <w:bCs w:val="0"/>
          <w:szCs w:val="28"/>
        </w:rPr>
        <w:t>四、绩效自评结果拟应用和公开情况</w:t>
      </w:r>
    </w:p>
    <w:p w14:paraId="39D19283">
      <w:pPr>
        <w:pStyle w:val="41"/>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（一）结果应用</w:t>
      </w:r>
    </w:p>
    <w:p w14:paraId="2C601981">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及时、认真整改绩效自评发现的问题，同时将绩效自评结果作为以后年度预算申请、安排、分配的重要依据。</w:t>
      </w:r>
    </w:p>
    <w:p w14:paraId="37BA06A1">
      <w:pPr>
        <w:pStyle w:val="41"/>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（二）结果公开</w:t>
      </w:r>
    </w:p>
    <w:p w14:paraId="6B821722">
      <w:pPr>
        <w:ind w:firstLine="640" w:firstLineChars="200"/>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将绩效自评结果在福建省应急管理厅门户网站公开，自觉接受群众监督。</w:t>
      </w:r>
    </w:p>
    <w:p w14:paraId="50A0D2A8">
      <w:pPr>
        <w:pStyle w:val="4"/>
        <w:spacing w:before="156" w:beforeLines="50" w:after="156" w:afterLines="50" w:line="416" w:lineRule="atLeast"/>
        <w:ind w:firstLine="640" w:firstLineChars="200"/>
        <w:jc w:val="left"/>
        <w:rPr>
          <w:rFonts w:hint="eastAsia" w:ascii="黑体" w:hAnsi="黑体" w:eastAsia="黑体" w:cs="黑体"/>
          <w:b w:val="0"/>
          <w:bCs w:val="0"/>
          <w:szCs w:val="28"/>
        </w:rPr>
      </w:pPr>
      <w:r>
        <w:rPr>
          <w:rFonts w:hint="eastAsia" w:ascii="黑体" w:hAnsi="黑体" w:eastAsia="黑体" w:cs="黑体"/>
          <w:b w:val="0"/>
          <w:bCs w:val="0"/>
          <w:szCs w:val="28"/>
        </w:rPr>
        <w:t>五、其他需要说明的问题</w:t>
      </w:r>
    </w:p>
    <w:p w14:paraId="1031E7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215AA0E5">
      <w:pPr>
        <w:ind w:firstLine="640" w:firstLineChars="200"/>
        <w:rPr>
          <w:rFonts w:hint="eastAsia" w:ascii="仿宋_GB2312" w:hAnsi="仿宋_GB2312" w:eastAsia="仿宋_GB2312" w:cs="仿宋_GB2312"/>
          <w:sz w:val="32"/>
          <w:szCs w:val="32"/>
        </w:rPr>
      </w:pPr>
    </w:p>
    <w:p w14:paraId="13AFB2E5">
      <w:pPr>
        <w:ind w:firstLine="640" w:firstLineChars="200"/>
        <w:rPr>
          <w:rFonts w:hint="eastAsia" w:ascii="仿宋_GB2312" w:hAnsi="仿宋_GB2312" w:eastAsia="仿宋_GB2312" w:cs="仿宋_GB2312"/>
          <w:sz w:val="32"/>
          <w:szCs w:val="32"/>
        </w:rPr>
        <w:sectPr>
          <w:footerReference r:id="rId5" w:type="default"/>
          <w:pgSz w:w="11906" w:h="16838"/>
          <w:pgMar w:top="1247" w:right="1247" w:bottom="1247" w:left="1247"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93D8C8B">
      <w:pPr>
        <w:pStyle w:val="3"/>
        <w:spacing w:before="312" w:beforeLines="100" w:line="240" w:lineRule="auto"/>
        <w:rPr>
          <w:rFonts w:hint="eastAsia" w:ascii="黑体" w:eastAsia="黑体"/>
          <w:kern w:val="44"/>
          <w:sz w:val="32"/>
          <w:szCs w:val="32"/>
        </w:rPr>
      </w:pPr>
      <w:r>
        <w:rPr>
          <w:rFonts w:hint="eastAsia" w:ascii="黑体" w:eastAsia="黑体"/>
          <w:kern w:val="44"/>
          <w:sz w:val="32"/>
          <w:szCs w:val="32"/>
        </w:rPr>
        <w:t>附表1</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510"/>
        <w:gridCol w:w="150"/>
        <w:gridCol w:w="620"/>
        <w:gridCol w:w="250"/>
        <w:gridCol w:w="465"/>
        <w:gridCol w:w="540"/>
        <w:gridCol w:w="761"/>
        <w:gridCol w:w="439"/>
        <w:gridCol w:w="405"/>
        <w:gridCol w:w="570"/>
        <w:gridCol w:w="153"/>
        <w:gridCol w:w="852"/>
        <w:gridCol w:w="444"/>
        <w:gridCol w:w="755"/>
        <w:gridCol w:w="586"/>
        <w:gridCol w:w="1394"/>
      </w:tblGrid>
      <w:tr w14:paraId="2C90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000" w:type="pct"/>
            <w:gridSpan w:val="17"/>
            <w:tcBorders>
              <w:top w:val="nil"/>
              <w:left w:val="nil"/>
              <w:bottom w:val="nil"/>
              <w:right w:val="nil"/>
            </w:tcBorders>
            <w:shd w:val="clear" w:color="auto" w:fill="auto"/>
            <w:vAlign w:val="center"/>
          </w:tcPr>
          <w:p w14:paraId="406A5A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中央安全生产预防和应急救援能力建设补助资金转移支付福建省（煤矿及重点非煤矿山重大灾害风险防控支出）绩效自评表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（2024年度）</w:t>
            </w:r>
          </w:p>
        </w:tc>
      </w:tr>
      <w:tr w14:paraId="1825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4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转移支付（项目）名称</w:t>
            </w:r>
          </w:p>
        </w:tc>
        <w:tc>
          <w:tcPr>
            <w:tcW w:w="395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51AE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中央安全生产预防和应急救援能力建设补助资金（煤矿及重点非煤矿山重大灾害风险防控支出）</w:t>
            </w:r>
          </w:p>
        </w:tc>
      </w:tr>
      <w:tr w14:paraId="0658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1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3954"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1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财政部、国家矿山安全监察局、应急管理部</w:t>
            </w:r>
          </w:p>
        </w:tc>
      </w:tr>
      <w:tr w14:paraId="7929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0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地方主管部门</w:t>
            </w:r>
          </w:p>
        </w:tc>
        <w:tc>
          <w:tcPr>
            <w:tcW w:w="186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C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福建省财政厅、福建省应急管理厅</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3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资金使用单位</w:t>
            </w:r>
          </w:p>
        </w:tc>
        <w:tc>
          <w:tcPr>
            <w:tcW w:w="14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36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设区市或县（市、区）有关部门</w:t>
            </w:r>
          </w:p>
        </w:tc>
      </w:tr>
      <w:tr w14:paraId="48F4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4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DE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8207">
            <w:pPr>
              <w:rPr>
                <w:rFonts w:hint="eastAsia" w:ascii="宋体" w:hAnsi="宋体" w:eastAsia="宋体" w:cs="宋体"/>
                <w:i w:val="0"/>
                <w:iCs w:val="0"/>
                <w:color w:val="000000"/>
                <w:sz w:val="18"/>
                <w:szCs w:val="18"/>
                <w:u w:val="none"/>
              </w:rPr>
            </w:pP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5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5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89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（B/A</w:t>
            </w:r>
            <w:r>
              <w:rPr>
                <w:rFonts w:ascii="汉仪细圆B5" w:hAnsi="汉仪细圆B5" w:eastAsia="汉仪细圆B5" w:cs="汉仪细圆B5"/>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w:t>
            </w:r>
          </w:p>
        </w:tc>
      </w:tr>
      <w:tr w14:paraId="64F9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B69D1">
            <w:pPr>
              <w:jc w:val="center"/>
              <w:rPr>
                <w:rFonts w:hint="eastAsia" w:ascii="宋体" w:hAnsi="宋体" w:eastAsia="宋体" w:cs="宋体"/>
                <w:i w:val="0"/>
                <w:iCs w:val="0"/>
                <w:color w:val="000000"/>
                <w:sz w:val="18"/>
                <w:szCs w:val="18"/>
                <w:u w:val="none"/>
              </w:rPr>
            </w:pPr>
          </w:p>
        </w:tc>
        <w:tc>
          <w:tcPr>
            <w:tcW w:w="1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D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6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5706</w:t>
            </w: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0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5706</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6B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2D14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21214">
            <w:pPr>
              <w:jc w:val="center"/>
              <w:rPr>
                <w:rFonts w:hint="eastAsia" w:ascii="宋体" w:hAnsi="宋体" w:eastAsia="宋体" w:cs="宋体"/>
                <w:i w:val="0"/>
                <w:iCs w:val="0"/>
                <w:color w:val="000000"/>
                <w:sz w:val="18"/>
                <w:szCs w:val="18"/>
                <w:u w:val="none"/>
              </w:rPr>
            </w:pPr>
          </w:p>
        </w:tc>
        <w:tc>
          <w:tcPr>
            <w:tcW w:w="1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6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其中：中央财政资金</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2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5706</w:t>
            </w: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1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5706</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65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190B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05867">
            <w:pPr>
              <w:jc w:val="center"/>
              <w:rPr>
                <w:rFonts w:hint="eastAsia" w:ascii="宋体" w:hAnsi="宋体" w:eastAsia="宋体" w:cs="宋体"/>
                <w:i w:val="0"/>
                <w:iCs w:val="0"/>
                <w:color w:val="000000"/>
                <w:sz w:val="18"/>
                <w:szCs w:val="18"/>
                <w:u w:val="none"/>
              </w:rPr>
            </w:pPr>
          </w:p>
        </w:tc>
        <w:tc>
          <w:tcPr>
            <w:tcW w:w="1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4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地方财政资金</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89E2">
            <w:pPr>
              <w:jc w:val="center"/>
              <w:rPr>
                <w:rFonts w:hint="eastAsia" w:ascii="宋体" w:hAnsi="宋体" w:eastAsia="宋体" w:cs="宋体"/>
                <w:i w:val="0"/>
                <w:iCs w:val="0"/>
                <w:color w:val="000000"/>
                <w:sz w:val="18"/>
                <w:szCs w:val="18"/>
                <w:u w:val="none"/>
              </w:rPr>
            </w:pP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CBC1">
            <w:pPr>
              <w:jc w:val="center"/>
              <w:rPr>
                <w:rFonts w:hint="eastAsia" w:ascii="宋体" w:hAnsi="宋体" w:eastAsia="宋体" w:cs="宋体"/>
                <w:i w:val="0"/>
                <w:iCs w:val="0"/>
                <w:color w:val="000000"/>
                <w:sz w:val="18"/>
                <w:szCs w:val="18"/>
                <w:u w:val="none"/>
              </w:rPr>
            </w:pP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C4874">
            <w:pPr>
              <w:jc w:val="center"/>
              <w:rPr>
                <w:rFonts w:hint="eastAsia" w:ascii="宋体" w:hAnsi="宋体" w:eastAsia="宋体" w:cs="宋体"/>
                <w:i w:val="0"/>
                <w:iCs w:val="0"/>
                <w:color w:val="000000"/>
                <w:sz w:val="18"/>
                <w:szCs w:val="18"/>
                <w:u w:val="none"/>
              </w:rPr>
            </w:pPr>
          </w:p>
        </w:tc>
      </w:tr>
      <w:tr w14:paraId="13C6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DFCED">
            <w:pPr>
              <w:jc w:val="center"/>
              <w:rPr>
                <w:rFonts w:hint="eastAsia" w:ascii="宋体" w:hAnsi="宋体" w:eastAsia="宋体" w:cs="宋体"/>
                <w:i w:val="0"/>
                <w:iCs w:val="0"/>
                <w:color w:val="000000"/>
                <w:sz w:val="18"/>
                <w:szCs w:val="18"/>
                <w:u w:val="none"/>
              </w:rPr>
            </w:pPr>
          </w:p>
        </w:tc>
        <w:tc>
          <w:tcPr>
            <w:tcW w:w="1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A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5632">
            <w:pPr>
              <w:jc w:val="center"/>
              <w:rPr>
                <w:rFonts w:hint="eastAsia" w:ascii="宋体" w:hAnsi="宋体" w:eastAsia="宋体" w:cs="宋体"/>
                <w:i w:val="0"/>
                <w:iCs w:val="0"/>
                <w:color w:val="000000"/>
                <w:sz w:val="18"/>
                <w:szCs w:val="18"/>
                <w:u w:val="none"/>
              </w:rPr>
            </w:pP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3788">
            <w:pPr>
              <w:jc w:val="center"/>
              <w:rPr>
                <w:rFonts w:hint="eastAsia" w:ascii="宋体" w:hAnsi="宋体" w:eastAsia="宋体" w:cs="宋体"/>
                <w:i w:val="0"/>
                <w:iCs w:val="0"/>
                <w:color w:val="000000"/>
                <w:sz w:val="18"/>
                <w:szCs w:val="18"/>
                <w:u w:val="none"/>
              </w:rPr>
            </w:pP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288A0">
            <w:pPr>
              <w:jc w:val="center"/>
              <w:rPr>
                <w:rFonts w:hint="eastAsia" w:ascii="宋体" w:hAnsi="宋体" w:eastAsia="宋体" w:cs="宋体"/>
                <w:i w:val="0"/>
                <w:iCs w:val="0"/>
                <w:color w:val="000000"/>
                <w:sz w:val="18"/>
                <w:szCs w:val="18"/>
                <w:u w:val="none"/>
              </w:rPr>
            </w:pPr>
          </w:p>
        </w:tc>
      </w:tr>
      <w:tr w14:paraId="4513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A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资金管理情况</w:t>
            </w:r>
          </w:p>
        </w:tc>
        <w:tc>
          <w:tcPr>
            <w:tcW w:w="7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C718">
            <w:pPr>
              <w:rPr>
                <w:rFonts w:hint="eastAsia" w:ascii="宋体" w:hAnsi="宋体" w:eastAsia="宋体" w:cs="宋体"/>
                <w:i w:val="0"/>
                <w:iCs w:val="0"/>
                <w:color w:val="000000"/>
                <w:sz w:val="18"/>
                <w:szCs w:val="18"/>
                <w:u w:val="none"/>
              </w:rPr>
            </w:pPr>
          </w:p>
        </w:tc>
        <w:tc>
          <w:tcPr>
            <w:tcW w:w="2858"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D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情况说明</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3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存在问题和改进措施</w:t>
            </w:r>
          </w:p>
        </w:tc>
      </w:tr>
      <w:tr w14:paraId="2F41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trPr>
        <w:tc>
          <w:tcPr>
            <w:tcW w:w="6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7B83">
            <w:pPr>
              <w:jc w:val="center"/>
              <w:rPr>
                <w:rFonts w:hint="eastAsia" w:ascii="宋体" w:hAnsi="宋体" w:eastAsia="宋体" w:cs="宋体"/>
                <w:i w:val="0"/>
                <w:iCs w:val="0"/>
                <w:color w:val="000000"/>
                <w:sz w:val="18"/>
                <w:szCs w:val="18"/>
                <w:u w:val="none"/>
              </w:rPr>
            </w:pPr>
          </w:p>
        </w:tc>
        <w:tc>
          <w:tcPr>
            <w:tcW w:w="7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0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分类科学性</w:t>
            </w:r>
          </w:p>
        </w:tc>
        <w:tc>
          <w:tcPr>
            <w:tcW w:w="28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2E2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转移支付管理制度以及《安全生产预防和应急救援能力建设补助资金管理办法》《安全生产应急救援力量建设总体方案》《重点化工产业聚集区重大安全风险防控工作总体方案》《尾矿库风险隐患治理工作总体方案》《煤矿及重点非煤矿山重大灾害风险防控建设工作总体方案》等文件规定的资金使用范围和标准，同时综合项目实际，突出重点，按因素分配法和项目管理法相结合的分配方式合理分配项目资金。</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D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C44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6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E10F">
            <w:pPr>
              <w:jc w:val="center"/>
              <w:rPr>
                <w:rFonts w:hint="eastAsia" w:ascii="宋体" w:hAnsi="宋体" w:eastAsia="宋体" w:cs="宋体"/>
                <w:i w:val="0"/>
                <w:iCs w:val="0"/>
                <w:color w:val="000000"/>
                <w:sz w:val="18"/>
                <w:szCs w:val="18"/>
                <w:u w:val="none"/>
              </w:rPr>
            </w:pPr>
          </w:p>
        </w:tc>
        <w:tc>
          <w:tcPr>
            <w:tcW w:w="7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4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下达及时性</w:t>
            </w:r>
          </w:p>
        </w:tc>
        <w:tc>
          <w:tcPr>
            <w:tcW w:w="28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D990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预算法及其实施条例，转移支付管理制度等规定，以及《安全生产预防和应急救援能力建设补助资金管理办法》《中央转移支付资金下达通知》等文件规定的时限分解下达项目资金，收到中央转移支付后按相关文件规定及时下达资金。资金下达及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E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90C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F139">
            <w:pPr>
              <w:jc w:val="center"/>
              <w:rPr>
                <w:rFonts w:hint="eastAsia" w:ascii="宋体" w:hAnsi="宋体" w:eastAsia="宋体" w:cs="宋体"/>
                <w:i w:val="0"/>
                <w:iCs w:val="0"/>
                <w:color w:val="000000"/>
                <w:sz w:val="18"/>
                <w:szCs w:val="18"/>
                <w:u w:val="none"/>
              </w:rPr>
            </w:pPr>
          </w:p>
        </w:tc>
        <w:tc>
          <w:tcPr>
            <w:tcW w:w="7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83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拨付合规性</w:t>
            </w:r>
          </w:p>
        </w:tc>
        <w:tc>
          <w:tcPr>
            <w:tcW w:w="28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869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严格按照国库集中支付制度有关规定支付资金，资金执行过程中，未发现违规将资金从国库转入财政专户或支付到预算单位实有资金账户等问题。</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C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B7EC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8FB0">
            <w:pPr>
              <w:jc w:val="center"/>
              <w:rPr>
                <w:rFonts w:hint="eastAsia" w:ascii="宋体" w:hAnsi="宋体" w:eastAsia="宋体" w:cs="宋体"/>
                <w:i w:val="0"/>
                <w:iCs w:val="0"/>
                <w:color w:val="000000"/>
                <w:sz w:val="18"/>
                <w:szCs w:val="18"/>
                <w:u w:val="none"/>
              </w:rPr>
            </w:pPr>
          </w:p>
        </w:tc>
        <w:tc>
          <w:tcPr>
            <w:tcW w:w="7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2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使用规范性</w:t>
            </w:r>
          </w:p>
        </w:tc>
        <w:tc>
          <w:tcPr>
            <w:tcW w:w="28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986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严格按照下达预算的科目和项目执行，严格执行有关资金管理规定，专款专用，未发现截留、挤占、挪用或擅自调整等问题，资金使用规范。</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7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01F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8426">
            <w:pPr>
              <w:jc w:val="center"/>
              <w:rPr>
                <w:rFonts w:hint="eastAsia" w:ascii="宋体" w:hAnsi="宋体" w:eastAsia="宋体" w:cs="宋体"/>
                <w:i w:val="0"/>
                <w:iCs w:val="0"/>
                <w:color w:val="000000"/>
                <w:sz w:val="18"/>
                <w:szCs w:val="18"/>
                <w:u w:val="none"/>
              </w:rPr>
            </w:pPr>
          </w:p>
        </w:tc>
        <w:tc>
          <w:tcPr>
            <w:tcW w:w="7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C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执行准确性</w:t>
            </w:r>
          </w:p>
        </w:tc>
        <w:tc>
          <w:tcPr>
            <w:tcW w:w="28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5C9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按照上级下达和本级预算安排的金额执行，中央财政转移支付资金执行率为100%，整体预算执行准确性高。</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6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010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01A6">
            <w:pPr>
              <w:jc w:val="center"/>
              <w:rPr>
                <w:rFonts w:hint="eastAsia" w:ascii="宋体" w:hAnsi="宋体" w:eastAsia="宋体" w:cs="宋体"/>
                <w:i w:val="0"/>
                <w:iCs w:val="0"/>
                <w:color w:val="000000"/>
                <w:sz w:val="18"/>
                <w:szCs w:val="18"/>
                <w:u w:val="none"/>
              </w:rPr>
            </w:pPr>
          </w:p>
        </w:tc>
        <w:tc>
          <w:tcPr>
            <w:tcW w:w="7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5E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预算绩效管理情况</w:t>
            </w:r>
          </w:p>
        </w:tc>
        <w:tc>
          <w:tcPr>
            <w:tcW w:w="28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73D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省财政厅、应急管理厅在细化下达预算时同步下达了绩效目标，将安全生产预防和应急救援能力建设补助资金纳入省级资金预算，组织开展了事中绩效监控和事后绩效评价</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D6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A67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5253">
            <w:pPr>
              <w:jc w:val="center"/>
              <w:rPr>
                <w:rFonts w:hint="eastAsia" w:ascii="宋体" w:hAnsi="宋体" w:eastAsia="宋体" w:cs="宋体"/>
                <w:i w:val="0"/>
                <w:iCs w:val="0"/>
                <w:color w:val="000000"/>
                <w:sz w:val="18"/>
                <w:szCs w:val="18"/>
                <w:u w:val="none"/>
              </w:rPr>
            </w:pPr>
          </w:p>
        </w:tc>
        <w:tc>
          <w:tcPr>
            <w:tcW w:w="7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5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支出责任履行情况</w:t>
            </w:r>
          </w:p>
        </w:tc>
        <w:tc>
          <w:tcPr>
            <w:tcW w:w="28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839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省财政厅、应急管理厅收到中央转移支付资金后，按照财政事权和支出责任划分有关规定，按相关文件规定的时限足额下拨至设区市或县（市、区）级财政、应急管理部门。</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9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01E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0E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总体目标完成情况</w:t>
            </w:r>
          </w:p>
        </w:tc>
        <w:tc>
          <w:tcPr>
            <w:tcW w:w="214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6BE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w:t>
            </w:r>
          </w:p>
        </w:tc>
        <w:tc>
          <w:tcPr>
            <w:tcW w:w="246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9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62FE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6CBDF">
            <w:pPr>
              <w:jc w:val="center"/>
              <w:rPr>
                <w:rFonts w:hint="eastAsia" w:ascii="宋体" w:hAnsi="宋体" w:eastAsia="宋体" w:cs="宋体"/>
                <w:i w:val="0"/>
                <w:iCs w:val="0"/>
                <w:color w:val="000000"/>
                <w:sz w:val="18"/>
                <w:szCs w:val="18"/>
                <w:u w:val="none"/>
              </w:rPr>
            </w:pPr>
          </w:p>
        </w:tc>
        <w:tc>
          <w:tcPr>
            <w:tcW w:w="2149" w:type="pct"/>
            <w:gridSpan w:val="9"/>
            <w:tcBorders>
              <w:top w:val="single" w:color="000000" w:sz="4" w:space="0"/>
              <w:left w:val="single" w:color="000000" w:sz="4" w:space="0"/>
              <w:bottom w:val="single" w:color="000000" w:sz="4" w:space="0"/>
              <w:right w:val="nil"/>
            </w:tcBorders>
            <w:shd w:val="clear" w:color="auto" w:fill="auto"/>
            <w:vAlign w:val="center"/>
          </w:tcPr>
          <w:p w14:paraId="0EC744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支持建设纳入全国性系统的煤矿瓦斯、水、火、冲击地压、顶板等重大风险监控和联网，重点非煤矿山视频智能监控子系统，金属非金属地下矿山安全监测监控系统，尾矿库在线监测系统等，提升矿山数字化、智能化安全生产预防和监管水平。</w:t>
            </w:r>
          </w:p>
        </w:tc>
        <w:tc>
          <w:tcPr>
            <w:tcW w:w="246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C29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至2024年12月31日，本项目煤矿瓦斯、水、火、冲击地压等重大风险监控和联网系统建设完成率为75%；重点非煤矿山视频智能监控子系统建设完成率为60%；地下金属非金属矿山安全监测监控系统建设完成率为48%；新建1个尾矿库在线监控系统；尾矿库在线监控系统（升级改造）建设完成率为76.19%，预计2025年6月30日前可全部完成，矿山数字化、智能化安全生产预防和监管水平将得到全面提升。</w:t>
            </w:r>
          </w:p>
        </w:tc>
      </w:tr>
      <w:tr w14:paraId="7171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81" w:type="pct"/>
            <w:vMerge w:val="restart"/>
            <w:tcBorders>
              <w:top w:val="single" w:color="000000" w:sz="4" w:space="0"/>
              <w:left w:val="single" w:color="000000" w:sz="4" w:space="0"/>
              <w:bottom w:val="nil"/>
              <w:right w:val="single" w:color="000000" w:sz="4" w:space="0"/>
            </w:tcBorders>
            <w:shd w:val="clear" w:color="auto" w:fill="auto"/>
            <w:vAlign w:val="center"/>
          </w:tcPr>
          <w:p w14:paraId="5515E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10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AB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2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9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CD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全年实际完成值</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A06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未完成原因和改进措施</w:t>
            </w:r>
          </w:p>
        </w:tc>
      </w:tr>
      <w:tr w14:paraId="64B7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405258F4">
            <w:pPr>
              <w:jc w:val="center"/>
              <w:rPr>
                <w:rFonts w:hint="eastAsia" w:ascii="宋体" w:hAnsi="宋体" w:eastAsia="宋体" w:cs="宋体"/>
                <w:i w:val="0"/>
                <w:iCs w:val="0"/>
                <w:color w:val="000000"/>
                <w:sz w:val="18"/>
                <w:szCs w:val="18"/>
                <w:u w:val="none"/>
              </w:rPr>
            </w:pPr>
          </w:p>
        </w:tc>
        <w:tc>
          <w:tcPr>
            <w:tcW w:w="34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04CF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451"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31E1D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5" w:type="pct"/>
            <w:gridSpan w:val="4"/>
            <w:tcBorders>
              <w:top w:val="single" w:color="000000" w:sz="4" w:space="0"/>
              <w:left w:val="single" w:color="000000" w:sz="4" w:space="0"/>
              <w:bottom w:val="nil"/>
              <w:right w:val="single" w:color="000000" w:sz="4" w:space="0"/>
            </w:tcBorders>
            <w:shd w:val="clear" w:color="auto" w:fill="auto"/>
            <w:vAlign w:val="center"/>
          </w:tcPr>
          <w:p w14:paraId="01A48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煤矿瓦斯、水、火、冲击地压等重大风险监控和联网（个）</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8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FF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B858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未完成原因：项目建设期限未到，其中3个煤矿已完成建设并联网，目前尚未验收；尚有1个在建矿山，正依据建设进度有序部署施工，预计2025年6月底前能完成。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79044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610BB969">
            <w:pPr>
              <w:jc w:val="center"/>
              <w:rPr>
                <w:rFonts w:hint="eastAsia" w:ascii="宋体" w:hAnsi="宋体" w:eastAsia="宋体" w:cs="宋体"/>
                <w:i w:val="0"/>
                <w:iCs w:val="0"/>
                <w:color w:val="000000"/>
                <w:sz w:val="18"/>
                <w:szCs w:val="18"/>
                <w:u w:val="none"/>
              </w:rPr>
            </w:pPr>
          </w:p>
        </w:tc>
        <w:tc>
          <w:tcPr>
            <w:tcW w:w="34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BA8B0AE">
            <w:pPr>
              <w:jc w:val="center"/>
              <w:rPr>
                <w:rFonts w:hint="eastAsia" w:ascii="宋体" w:hAnsi="宋体" w:eastAsia="宋体" w:cs="宋体"/>
                <w:i w:val="0"/>
                <w:iCs w:val="0"/>
                <w:color w:val="000000"/>
                <w:sz w:val="18"/>
                <w:szCs w:val="18"/>
                <w:u w:val="none"/>
              </w:rPr>
            </w:pPr>
          </w:p>
        </w:tc>
        <w:tc>
          <w:tcPr>
            <w:tcW w:w="45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D6A81EA">
            <w:pPr>
              <w:jc w:val="center"/>
              <w:rPr>
                <w:rFonts w:hint="eastAsia" w:ascii="宋体" w:hAnsi="宋体" w:eastAsia="宋体" w:cs="宋体"/>
                <w:i w:val="0"/>
                <w:iCs w:val="0"/>
                <w:color w:val="000000"/>
                <w:sz w:val="18"/>
                <w:szCs w:val="18"/>
                <w:u w:val="none"/>
              </w:rPr>
            </w:pPr>
          </w:p>
        </w:tc>
        <w:tc>
          <w:tcPr>
            <w:tcW w:w="1145" w:type="pct"/>
            <w:gridSpan w:val="4"/>
            <w:tcBorders>
              <w:top w:val="single" w:color="000000" w:sz="4" w:space="0"/>
              <w:left w:val="single" w:color="000000" w:sz="4" w:space="0"/>
              <w:bottom w:val="nil"/>
              <w:right w:val="single" w:color="000000" w:sz="4" w:space="0"/>
            </w:tcBorders>
            <w:shd w:val="clear" w:color="auto" w:fill="auto"/>
            <w:vAlign w:val="center"/>
          </w:tcPr>
          <w:p w14:paraId="57BB80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重点非煤矿山视频智能监控子系统（个）</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0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9F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999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未完成原因：项目建设期限未到，尚有12个处于施工阶段或设备采购环节，尚未完成安装。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改进措施：动态调度进展情况，对推进缓慢的，组织人员赴现场指导帮扶，预计2025年6月底前能完成。</w:t>
            </w:r>
          </w:p>
        </w:tc>
      </w:tr>
      <w:tr w14:paraId="271B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509391F8">
            <w:pPr>
              <w:jc w:val="center"/>
              <w:rPr>
                <w:rFonts w:hint="eastAsia" w:ascii="宋体" w:hAnsi="宋体" w:eastAsia="宋体" w:cs="宋体"/>
                <w:i w:val="0"/>
                <w:iCs w:val="0"/>
                <w:color w:val="000000"/>
                <w:sz w:val="18"/>
                <w:szCs w:val="18"/>
                <w:u w:val="none"/>
              </w:rPr>
            </w:pPr>
          </w:p>
        </w:tc>
        <w:tc>
          <w:tcPr>
            <w:tcW w:w="34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E3DB454">
            <w:pPr>
              <w:jc w:val="center"/>
              <w:rPr>
                <w:rFonts w:hint="eastAsia" w:ascii="宋体" w:hAnsi="宋体" w:eastAsia="宋体" w:cs="宋体"/>
                <w:i w:val="0"/>
                <w:iCs w:val="0"/>
                <w:color w:val="000000"/>
                <w:sz w:val="18"/>
                <w:szCs w:val="18"/>
                <w:u w:val="none"/>
              </w:rPr>
            </w:pPr>
          </w:p>
        </w:tc>
        <w:tc>
          <w:tcPr>
            <w:tcW w:w="45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BDE2201">
            <w:pPr>
              <w:jc w:val="center"/>
              <w:rPr>
                <w:rFonts w:hint="eastAsia" w:ascii="宋体" w:hAnsi="宋体" w:eastAsia="宋体" w:cs="宋体"/>
                <w:i w:val="0"/>
                <w:iCs w:val="0"/>
                <w:color w:val="000000"/>
                <w:sz w:val="18"/>
                <w:szCs w:val="18"/>
                <w:u w:val="none"/>
              </w:rPr>
            </w:pPr>
          </w:p>
        </w:tc>
        <w:tc>
          <w:tcPr>
            <w:tcW w:w="1145" w:type="pct"/>
            <w:gridSpan w:val="4"/>
            <w:tcBorders>
              <w:top w:val="single" w:color="000000" w:sz="4" w:space="0"/>
              <w:left w:val="single" w:color="000000" w:sz="4" w:space="0"/>
              <w:bottom w:val="nil"/>
              <w:right w:val="single" w:color="000000" w:sz="4" w:space="0"/>
            </w:tcBorders>
            <w:shd w:val="clear" w:color="auto" w:fill="auto"/>
            <w:vAlign w:val="center"/>
          </w:tcPr>
          <w:p w14:paraId="4D75D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地下金属非金属矿山安全监测监控系统（个）</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A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C9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71BA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未完成原因：项目建设期限未到，尚有23家金属非金属矿山正在施工或采购设备，1 家正在进行招投标工作，2家处于停产状态，均未完成视频智能监控子系统安装。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改进措施：动态调度进展情况，对推进缓慢的，组织人员赴现场指导帮扶，预计2025年6月底前能完成。</w:t>
            </w:r>
          </w:p>
        </w:tc>
      </w:tr>
      <w:tr w14:paraId="4C0E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7C0480B3">
            <w:pPr>
              <w:jc w:val="center"/>
              <w:rPr>
                <w:rFonts w:hint="eastAsia" w:ascii="宋体" w:hAnsi="宋体" w:eastAsia="宋体" w:cs="宋体"/>
                <w:i w:val="0"/>
                <w:iCs w:val="0"/>
                <w:color w:val="000000"/>
                <w:sz w:val="18"/>
                <w:szCs w:val="18"/>
                <w:u w:val="none"/>
              </w:rPr>
            </w:pPr>
          </w:p>
        </w:tc>
        <w:tc>
          <w:tcPr>
            <w:tcW w:w="34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E0A3A82">
            <w:pPr>
              <w:jc w:val="center"/>
              <w:rPr>
                <w:rFonts w:hint="eastAsia" w:ascii="宋体" w:hAnsi="宋体" w:eastAsia="宋体" w:cs="宋体"/>
                <w:i w:val="0"/>
                <w:iCs w:val="0"/>
                <w:color w:val="000000"/>
                <w:sz w:val="18"/>
                <w:szCs w:val="18"/>
                <w:u w:val="none"/>
              </w:rPr>
            </w:pPr>
          </w:p>
        </w:tc>
        <w:tc>
          <w:tcPr>
            <w:tcW w:w="45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644786">
            <w:pPr>
              <w:jc w:val="center"/>
              <w:rPr>
                <w:rFonts w:hint="eastAsia" w:ascii="宋体" w:hAnsi="宋体" w:eastAsia="宋体" w:cs="宋体"/>
                <w:i w:val="0"/>
                <w:iCs w:val="0"/>
                <w:color w:val="000000"/>
                <w:sz w:val="18"/>
                <w:szCs w:val="18"/>
                <w:u w:val="none"/>
              </w:rPr>
            </w:pPr>
          </w:p>
        </w:tc>
        <w:tc>
          <w:tcPr>
            <w:tcW w:w="5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CD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尾矿库在线监控系统</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BB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新建（个）</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7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61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B983CD">
            <w:pPr>
              <w:jc w:val="left"/>
              <w:rPr>
                <w:rFonts w:hint="eastAsia" w:ascii="宋体" w:hAnsi="宋体" w:eastAsia="宋体" w:cs="宋体"/>
                <w:i w:val="0"/>
                <w:iCs w:val="0"/>
                <w:color w:val="000000"/>
                <w:sz w:val="18"/>
                <w:szCs w:val="18"/>
                <w:u w:val="none"/>
              </w:rPr>
            </w:pPr>
          </w:p>
        </w:tc>
      </w:tr>
      <w:tr w14:paraId="0442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261D988D">
            <w:pPr>
              <w:jc w:val="center"/>
              <w:rPr>
                <w:rFonts w:hint="eastAsia" w:ascii="宋体" w:hAnsi="宋体" w:eastAsia="宋体" w:cs="宋体"/>
                <w:i w:val="0"/>
                <w:iCs w:val="0"/>
                <w:color w:val="000000"/>
                <w:sz w:val="18"/>
                <w:szCs w:val="18"/>
                <w:u w:val="none"/>
              </w:rPr>
            </w:pPr>
          </w:p>
        </w:tc>
        <w:tc>
          <w:tcPr>
            <w:tcW w:w="34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46412CF">
            <w:pPr>
              <w:jc w:val="center"/>
              <w:rPr>
                <w:rFonts w:hint="eastAsia" w:ascii="宋体" w:hAnsi="宋体" w:eastAsia="宋体" w:cs="宋体"/>
                <w:i w:val="0"/>
                <w:iCs w:val="0"/>
                <w:color w:val="000000"/>
                <w:sz w:val="18"/>
                <w:szCs w:val="18"/>
                <w:u w:val="none"/>
              </w:rPr>
            </w:pPr>
          </w:p>
        </w:tc>
        <w:tc>
          <w:tcPr>
            <w:tcW w:w="45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8DEF4D4">
            <w:pPr>
              <w:jc w:val="center"/>
              <w:rPr>
                <w:rFonts w:hint="eastAsia" w:ascii="宋体" w:hAnsi="宋体" w:eastAsia="宋体" w:cs="宋体"/>
                <w:i w:val="0"/>
                <w:iCs w:val="0"/>
                <w:color w:val="000000"/>
                <w:sz w:val="18"/>
                <w:szCs w:val="18"/>
                <w:u w:val="none"/>
              </w:rPr>
            </w:pPr>
          </w:p>
        </w:tc>
        <w:tc>
          <w:tcPr>
            <w:tcW w:w="5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93C06">
            <w:pPr>
              <w:jc w:val="center"/>
              <w:rPr>
                <w:rFonts w:hint="eastAsia" w:ascii="宋体" w:hAnsi="宋体" w:eastAsia="宋体" w:cs="宋体"/>
                <w:i w:val="0"/>
                <w:iCs w:val="0"/>
                <w:color w:val="000000"/>
                <w:sz w:val="18"/>
                <w:szCs w:val="18"/>
                <w:u w:val="none"/>
              </w:rPr>
            </w:pPr>
          </w:p>
        </w:tc>
        <w:tc>
          <w:tcPr>
            <w:tcW w:w="623" w:type="pct"/>
            <w:gridSpan w:val="2"/>
            <w:tcBorders>
              <w:top w:val="single" w:color="000000" w:sz="4" w:space="0"/>
              <w:left w:val="single" w:color="000000" w:sz="4" w:space="0"/>
              <w:bottom w:val="nil"/>
              <w:right w:val="single" w:color="000000" w:sz="4" w:space="0"/>
            </w:tcBorders>
            <w:shd w:val="clear" w:color="auto" w:fill="auto"/>
            <w:vAlign w:val="center"/>
          </w:tcPr>
          <w:p w14:paraId="165D3B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升级改造（个）</w:t>
            </w:r>
          </w:p>
        </w:tc>
        <w:tc>
          <w:tcPr>
            <w:tcW w:w="506" w:type="pct"/>
            <w:gridSpan w:val="2"/>
            <w:tcBorders>
              <w:top w:val="single" w:color="000000" w:sz="4" w:space="0"/>
              <w:left w:val="single" w:color="000000" w:sz="4" w:space="0"/>
              <w:bottom w:val="nil"/>
              <w:right w:val="single" w:color="000000" w:sz="4" w:space="0"/>
            </w:tcBorders>
            <w:shd w:val="clear" w:color="auto" w:fill="auto"/>
            <w:noWrap/>
            <w:vAlign w:val="center"/>
          </w:tcPr>
          <w:p w14:paraId="5EB49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21" w:type="pct"/>
            <w:gridSpan w:val="2"/>
            <w:tcBorders>
              <w:top w:val="single" w:color="000000" w:sz="4" w:space="0"/>
              <w:left w:val="single" w:color="000000" w:sz="4" w:space="0"/>
              <w:bottom w:val="nil"/>
              <w:right w:val="single" w:color="000000" w:sz="4" w:space="0"/>
            </w:tcBorders>
            <w:shd w:val="clear" w:color="auto" w:fill="auto"/>
            <w:vAlign w:val="center"/>
          </w:tcPr>
          <w:p w14:paraId="72548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50" w:type="pct"/>
            <w:gridSpan w:val="4"/>
            <w:tcBorders>
              <w:top w:val="single" w:color="000000" w:sz="4" w:space="0"/>
              <w:left w:val="single" w:color="000000" w:sz="4" w:space="0"/>
              <w:bottom w:val="nil"/>
              <w:right w:val="single" w:color="000000" w:sz="4" w:space="0"/>
            </w:tcBorders>
            <w:shd w:val="clear" w:color="auto" w:fill="auto"/>
            <w:vAlign w:val="center"/>
          </w:tcPr>
          <w:p w14:paraId="2E395F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未完成原因：项目建设期限未到，尚有10个尾矿库正在施工，1个正在筹措资金。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改进措施：动态调度进展情况，对推进缓慢的，组织人员赴现场指导帮扶，预计2025年6月底前能完成。</w:t>
            </w:r>
          </w:p>
        </w:tc>
      </w:tr>
      <w:tr w14:paraId="5100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65907093">
            <w:pPr>
              <w:jc w:val="center"/>
              <w:rPr>
                <w:rFonts w:hint="eastAsia" w:ascii="宋体" w:hAnsi="宋体" w:eastAsia="宋体" w:cs="宋体"/>
                <w:i w:val="0"/>
                <w:iCs w:val="0"/>
                <w:color w:val="000000"/>
                <w:sz w:val="18"/>
                <w:szCs w:val="18"/>
                <w:u w:val="none"/>
              </w:rPr>
            </w:pPr>
          </w:p>
        </w:tc>
        <w:tc>
          <w:tcPr>
            <w:tcW w:w="34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5039B11">
            <w:pPr>
              <w:jc w:val="center"/>
              <w:rPr>
                <w:rFonts w:hint="eastAsia" w:ascii="宋体" w:hAnsi="宋体" w:eastAsia="宋体" w:cs="宋体"/>
                <w:i w:val="0"/>
                <w:iCs w:val="0"/>
                <w:color w:val="000000"/>
                <w:sz w:val="18"/>
                <w:szCs w:val="18"/>
                <w:u w:val="none"/>
              </w:rPr>
            </w:pPr>
          </w:p>
        </w:tc>
        <w:tc>
          <w:tcPr>
            <w:tcW w:w="45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4A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3A8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验收通过率</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E5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C5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50"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68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未完成原因：项目建设期限未到，预计2025年6底前能完成。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2160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34518CE2">
            <w:pPr>
              <w:jc w:val="center"/>
              <w:rPr>
                <w:rFonts w:hint="eastAsia" w:ascii="宋体" w:hAnsi="宋体" w:eastAsia="宋体" w:cs="宋体"/>
                <w:i w:val="0"/>
                <w:iCs w:val="0"/>
                <w:color w:val="000000"/>
                <w:sz w:val="18"/>
                <w:szCs w:val="18"/>
                <w:u w:val="none"/>
              </w:rPr>
            </w:pPr>
          </w:p>
        </w:tc>
        <w:tc>
          <w:tcPr>
            <w:tcW w:w="34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ED6106F">
            <w:pPr>
              <w:jc w:val="center"/>
              <w:rPr>
                <w:rFonts w:hint="eastAsia" w:ascii="宋体" w:hAnsi="宋体" w:eastAsia="宋体" w:cs="宋体"/>
                <w:i w:val="0"/>
                <w:iCs w:val="0"/>
                <w:color w:val="000000"/>
                <w:sz w:val="18"/>
                <w:szCs w:val="18"/>
                <w:u w:val="none"/>
              </w:rPr>
            </w:pPr>
          </w:p>
        </w:tc>
        <w:tc>
          <w:tcPr>
            <w:tcW w:w="4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F224A">
            <w:pPr>
              <w:jc w:val="center"/>
              <w:rPr>
                <w:rFonts w:hint="eastAsia" w:ascii="宋体" w:hAnsi="宋体" w:eastAsia="宋体" w:cs="宋体"/>
                <w:i w:val="0"/>
                <w:iCs w:val="0"/>
                <w:color w:val="000000"/>
                <w:sz w:val="18"/>
                <w:szCs w:val="18"/>
                <w:u w:val="none"/>
              </w:rPr>
            </w:pPr>
          </w:p>
        </w:tc>
        <w:tc>
          <w:tcPr>
            <w:tcW w:w="11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12F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联网在线率</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8A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2F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6838A">
            <w:pPr>
              <w:jc w:val="left"/>
              <w:rPr>
                <w:rFonts w:hint="eastAsia" w:ascii="宋体" w:hAnsi="宋体" w:eastAsia="宋体" w:cs="宋体"/>
                <w:i w:val="0"/>
                <w:iCs w:val="0"/>
                <w:color w:val="000000"/>
                <w:sz w:val="18"/>
                <w:szCs w:val="18"/>
                <w:u w:val="none"/>
              </w:rPr>
            </w:pPr>
          </w:p>
        </w:tc>
      </w:tr>
      <w:tr w14:paraId="5B39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6ED25409">
            <w:pPr>
              <w:jc w:val="center"/>
              <w:rPr>
                <w:rFonts w:hint="eastAsia" w:ascii="宋体" w:hAnsi="宋体" w:eastAsia="宋体" w:cs="宋体"/>
                <w:i w:val="0"/>
                <w:iCs w:val="0"/>
                <w:color w:val="000000"/>
                <w:sz w:val="18"/>
                <w:szCs w:val="18"/>
                <w:u w:val="none"/>
              </w:rPr>
            </w:pPr>
          </w:p>
        </w:tc>
        <w:tc>
          <w:tcPr>
            <w:tcW w:w="34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62906A2">
            <w:pPr>
              <w:jc w:val="center"/>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nil"/>
              <w:right w:val="single" w:color="000000" w:sz="4" w:space="0"/>
            </w:tcBorders>
            <w:shd w:val="clear" w:color="auto" w:fill="auto"/>
            <w:vAlign w:val="center"/>
          </w:tcPr>
          <w:p w14:paraId="677CF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5" w:type="pct"/>
            <w:gridSpan w:val="4"/>
            <w:tcBorders>
              <w:top w:val="single" w:color="000000" w:sz="4" w:space="0"/>
              <w:left w:val="single" w:color="000000" w:sz="4" w:space="0"/>
              <w:bottom w:val="nil"/>
              <w:right w:val="single" w:color="000000" w:sz="4" w:space="0"/>
            </w:tcBorders>
            <w:shd w:val="clear" w:color="auto" w:fill="auto"/>
            <w:vAlign w:val="center"/>
          </w:tcPr>
          <w:p w14:paraId="38DAB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进度完成率</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A1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pct"/>
            <w:gridSpan w:val="2"/>
            <w:tcBorders>
              <w:top w:val="single" w:color="000000" w:sz="4" w:space="0"/>
              <w:left w:val="single" w:color="000000" w:sz="4" w:space="0"/>
              <w:bottom w:val="nil"/>
              <w:right w:val="nil"/>
            </w:tcBorders>
            <w:shd w:val="clear" w:color="auto" w:fill="auto"/>
            <w:vAlign w:val="center"/>
          </w:tcPr>
          <w:p w14:paraId="0CE70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60.90%</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087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目前，尚有1座在建矿山瓦斯、水、火、冲击地压等重大风险监控和联网，正依据建设进度有序部署施工。12个重点非煤矿山的视频智能监控子系统处于施工阶段或设备采购环节，尚未完成安装；23家金属非金属矿山正在施工或采购设备，1家正在进行招投标工作，2家处于停产状态，均未完成视频智能监控子系统安装；10座尾矿库正在施工，1家正在筹措资金，尚未完成尾矿库在线监控系统的升级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改进措施：后续，项目单位将继续全力推进各项工作，确保项目按时高质量完成，项目预计2025年6月底前能完成。</w:t>
            </w:r>
          </w:p>
        </w:tc>
      </w:tr>
      <w:tr w14:paraId="4BB2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1894196D">
            <w:pPr>
              <w:jc w:val="center"/>
              <w:rPr>
                <w:rFonts w:hint="eastAsia" w:ascii="宋体" w:hAnsi="宋体" w:eastAsia="宋体" w:cs="宋体"/>
                <w:i w:val="0"/>
                <w:iCs w:val="0"/>
                <w:color w:val="000000"/>
                <w:sz w:val="18"/>
                <w:szCs w:val="18"/>
                <w:u w:val="none"/>
              </w:rPr>
            </w:pP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6C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77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7A6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矿山安全风险防控水平</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4B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20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将于项目完成后统一考核</w:t>
            </w:r>
          </w:p>
        </w:tc>
        <w:tc>
          <w:tcPr>
            <w:tcW w:w="1650"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3A1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未完成原因：项目建设期限未到，预计2025年6月底前可完成。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22F3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6266D8AA">
            <w:pPr>
              <w:jc w:val="center"/>
              <w:rPr>
                <w:rFonts w:hint="eastAsia" w:ascii="宋体" w:hAnsi="宋体" w:eastAsia="宋体" w:cs="宋体"/>
                <w:i w:val="0"/>
                <w:iCs w:val="0"/>
                <w:color w:val="000000"/>
                <w:sz w:val="18"/>
                <w:szCs w:val="18"/>
                <w:u w:val="none"/>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DEA37">
            <w:pPr>
              <w:jc w:val="center"/>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1D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1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9BE5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矿山安全监管监察效能</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CA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8A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将于项目完成后统一考核</w:t>
            </w:r>
          </w:p>
        </w:tc>
        <w:tc>
          <w:tcPr>
            <w:tcW w:w="16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45390">
            <w:pPr>
              <w:jc w:val="center"/>
              <w:rPr>
                <w:rFonts w:hint="eastAsia" w:ascii="宋体" w:hAnsi="宋体" w:eastAsia="宋体" w:cs="宋体"/>
                <w:i w:val="0"/>
                <w:iCs w:val="0"/>
                <w:color w:val="000000"/>
                <w:sz w:val="18"/>
                <w:szCs w:val="18"/>
                <w:u w:val="none"/>
              </w:rPr>
            </w:pPr>
          </w:p>
        </w:tc>
      </w:tr>
      <w:tr w14:paraId="58E3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81" w:type="pct"/>
            <w:vMerge w:val="continue"/>
            <w:tcBorders>
              <w:top w:val="single" w:color="000000" w:sz="4" w:space="0"/>
              <w:left w:val="single" w:color="000000" w:sz="4" w:space="0"/>
              <w:bottom w:val="nil"/>
              <w:right w:val="single" w:color="000000" w:sz="4" w:space="0"/>
            </w:tcBorders>
            <w:shd w:val="clear" w:color="auto" w:fill="auto"/>
            <w:vAlign w:val="center"/>
          </w:tcPr>
          <w:p w14:paraId="3528D2D0">
            <w:pPr>
              <w:jc w:val="center"/>
              <w:rPr>
                <w:rFonts w:hint="eastAsia" w:ascii="宋体" w:hAnsi="宋体" w:eastAsia="宋体" w:cs="宋体"/>
                <w:i w:val="0"/>
                <w:iCs w:val="0"/>
                <w:color w:val="000000"/>
                <w:sz w:val="18"/>
                <w:szCs w:val="18"/>
                <w:u w:val="none"/>
              </w:rPr>
            </w:pPr>
          </w:p>
        </w:tc>
        <w:tc>
          <w:tcPr>
            <w:tcW w:w="342" w:type="pct"/>
            <w:gridSpan w:val="2"/>
            <w:tcBorders>
              <w:top w:val="single" w:color="000000" w:sz="4" w:space="0"/>
              <w:left w:val="single" w:color="000000" w:sz="4" w:space="0"/>
              <w:bottom w:val="nil"/>
              <w:right w:val="single" w:color="000000" w:sz="4" w:space="0"/>
            </w:tcBorders>
            <w:shd w:val="clear" w:color="auto" w:fill="auto"/>
            <w:vAlign w:val="center"/>
          </w:tcPr>
          <w:p w14:paraId="0DD3F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51" w:type="pct"/>
            <w:gridSpan w:val="2"/>
            <w:tcBorders>
              <w:top w:val="single" w:color="000000" w:sz="4" w:space="0"/>
              <w:left w:val="single" w:color="000000" w:sz="4" w:space="0"/>
              <w:bottom w:val="nil"/>
              <w:right w:val="single" w:color="000000" w:sz="4" w:space="0"/>
            </w:tcBorders>
            <w:shd w:val="clear" w:color="auto" w:fill="auto"/>
            <w:vAlign w:val="center"/>
          </w:tcPr>
          <w:p w14:paraId="4D491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FEE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0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97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将于项目完成后统一考核</w:t>
            </w:r>
          </w:p>
        </w:tc>
        <w:tc>
          <w:tcPr>
            <w:tcW w:w="16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C06B9">
            <w:pPr>
              <w:jc w:val="center"/>
              <w:rPr>
                <w:rFonts w:hint="eastAsia" w:ascii="宋体" w:hAnsi="宋体" w:eastAsia="宋体" w:cs="宋体"/>
                <w:i w:val="0"/>
                <w:iCs w:val="0"/>
                <w:color w:val="000000"/>
                <w:sz w:val="18"/>
                <w:szCs w:val="18"/>
                <w:u w:val="none"/>
              </w:rPr>
            </w:pPr>
          </w:p>
        </w:tc>
      </w:tr>
      <w:tr w14:paraId="30F2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F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w:t>
            </w:r>
          </w:p>
        </w:tc>
        <w:tc>
          <w:tcPr>
            <w:tcW w:w="461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7D21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bl>
    <w:p w14:paraId="40566224">
      <w:pPr>
        <w:rPr>
          <w:rFonts w:hint="default"/>
          <w:lang w:val="en-US" w:eastAsia="zh-CN"/>
        </w:rPr>
      </w:pPr>
    </w:p>
    <w:p w14:paraId="249142F2">
      <w:pPr>
        <w:pStyle w:val="3"/>
        <w:spacing w:before="312" w:beforeLines="100" w:line="240" w:lineRule="auto"/>
        <w:rPr>
          <w:rFonts w:hint="eastAsia" w:ascii="黑体" w:eastAsia="黑体"/>
          <w:kern w:val="44"/>
          <w:sz w:val="32"/>
          <w:szCs w:val="32"/>
          <w:lang w:val="en-US" w:eastAsia="zh-CN"/>
        </w:rPr>
      </w:pPr>
    </w:p>
    <w:p w14:paraId="2BDB0292">
      <w:pPr>
        <w:rPr>
          <w:rFonts w:hint="eastAsia"/>
          <w:lang w:val="en-US" w:eastAsia="zh-CN"/>
        </w:rPr>
      </w:pPr>
    </w:p>
    <w:p w14:paraId="5B427587">
      <w:pPr>
        <w:pStyle w:val="3"/>
        <w:spacing w:before="312" w:beforeLines="100" w:line="240" w:lineRule="auto"/>
        <w:rPr>
          <w:rFonts w:hint="eastAsia" w:ascii="黑体" w:eastAsia="黑体"/>
          <w:kern w:val="44"/>
          <w:sz w:val="32"/>
          <w:szCs w:val="32"/>
          <w:lang w:val="en-US" w:eastAsia="zh-CN"/>
        </w:rPr>
      </w:pPr>
      <w:r>
        <w:rPr>
          <w:rFonts w:hint="eastAsia" w:ascii="黑体" w:eastAsia="黑体"/>
          <w:kern w:val="44"/>
          <w:sz w:val="32"/>
          <w:szCs w:val="32"/>
          <w:lang w:val="en-US" w:eastAsia="zh-CN"/>
        </w:rPr>
        <w:t>附表2</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322"/>
        <w:gridCol w:w="257"/>
        <w:gridCol w:w="900"/>
        <w:gridCol w:w="20"/>
        <w:gridCol w:w="100"/>
        <w:gridCol w:w="900"/>
        <w:gridCol w:w="1016"/>
        <w:gridCol w:w="199"/>
        <w:gridCol w:w="810"/>
        <w:gridCol w:w="180"/>
        <w:gridCol w:w="380"/>
        <w:gridCol w:w="865"/>
        <w:gridCol w:w="431"/>
        <w:gridCol w:w="755"/>
        <w:gridCol w:w="1918"/>
      </w:tblGrid>
      <w:tr w14:paraId="1273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000" w:type="pct"/>
            <w:gridSpan w:val="16"/>
            <w:tcBorders>
              <w:top w:val="nil"/>
              <w:left w:val="nil"/>
              <w:bottom w:val="nil"/>
              <w:right w:val="nil"/>
            </w:tcBorders>
            <w:shd w:val="clear" w:color="auto" w:fill="auto"/>
            <w:vAlign w:val="center"/>
          </w:tcPr>
          <w:p w14:paraId="0D6D6F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中央安全生产预防和应急救援能力建设补助资金转移支付福建省</w:t>
            </w:r>
          </w:p>
          <w:p w14:paraId="4AB112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（尾矿库风险隐患治理支出）绩效自评表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（2024年度）</w:t>
            </w:r>
          </w:p>
        </w:tc>
      </w:tr>
      <w:tr w14:paraId="2D59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1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转移支付（项目）名称</w:t>
            </w:r>
          </w:p>
        </w:tc>
        <w:tc>
          <w:tcPr>
            <w:tcW w:w="392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221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中央安全生产预防和应急救援能力建设补助资金（尾矿库风险隐患治理支出）</w:t>
            </w:r>
          </w:p>
        </w:tc>
      </w:tr>
      <w:tr w14:paraId="16B8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7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392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C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财政部、国家矿山安全监察局、应急管理部</w:t>
            </w:r>
          </w:p>
        </w:tc>
      </w:tr>
      <w:tr w14:paraId="7B94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2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地方主管部门</w:t>
            </w:r>
          </w:p>
        </w:tc>
        <w:tc>
          <w:tcPr>
            <w:tcW w:w="186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3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福建省财政厅、福建省应急管理厅</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E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资金使用单位</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96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设区市或县（市、区）有关部门</w:t>
            </w:r>
          </w:p>
        </w:tc>
      </w:tr>
      <w:tr w14:paraId="4552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77"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BD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0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C4FA">
            <w:pPr>
              <w:rPr>
                <w:rFonts w:hint="eastAsia" w:ascii="宋体" w:hAnsi="宋体" w:eastAsia="宋体" w:cs="宋体"/>
                <w:i w:val="0"/>
                <w:iCs w:val="0"/>
                <w:color w:val="000000"/>
                <w:sz w:val="18"/>
                <w:szCs w:val="18"/>
                <w:u w:val="none"/>
              </w:rPr>
            </w:pPr>
          </w:p>
        </w:tc>
        <w:tc>
          <w:tcPr>
            <w:tcW w:w="8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8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8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A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（B/A</w:t>
            </w:r>
            <w:r>
              <w:rPr>
                <w:rFonts w:ascii="汉仪细圆B5" w:hAnsi="汉仪细圆B5" w:eastAsia="汉仪细圆B5" w:cs="汉仪细圆B5"/>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w:t>
            </w:r>
          </w:p>
        </w:tc>
      </w:tr>
      <w:tr w14:paraId="3A3C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7"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4428C">
            <w:pPr>
              <w:jc w:val="center"/>
              <w:rPr>
                <w:rFonts w:hint="eastAsia" w:ascii="宋体" w:hAnsi="宋体" w:eastAsia="宋体" w:cs="宋体"/>
                <w:i w:val="0"/>
                <w:iCs w:val="0"/>
                <w:color w:val="000000"/>
                <w:sz w:val="18"/>
                <w:szCs w:val="18"/>
                <w:u w:val="none"/>
              </w:rPr>
            </w:pPr>
          </w:p>
        </w:tc>
        <w:tc>
          <w:tcPr>
            <w:tcW w:w="10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C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F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2910</w:t>
            </w: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F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5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77.32%</w:t>
            </w:r>
          </w:p>
        </w:tc>
      </w:tr>
      <w:tr w14:paraId="03B1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7"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91020">
            <w:pPr>
              <w:jc w:val="center"/>
              <w:rPr>
                <w:rFonts w:hint="eastAsia" w:ascii="宋体" w:hAnsi="宋体" w:eastAsia="宋体" w:cs="宋体"/>
                <w:i w:val="0"/>
                <w:iCs w:val="0"/>
                <w:color w:val="000000"/>
                <w:sz w:val="18"/>
                <w:szCs w:val="18"/>
                <w:u w:val="none"/>
              </w:rPr>
            </w:pPr>
          </w:p>
        </w:tc>
        <w:tc>
          <w:tcPr>
            <w:tcW w:w="10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9A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其中：中央财政资金</w:t>
            </w:r>
          </w:p>
        </w:tc>
        <w:tc>
          <w:tcPr>
            <w:tcW w:w="8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7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1455</w:t>
            </w: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4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0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7E331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7"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49663">
            <w:pPr>
              <w:jc w:val="center"/>
              <w:rPr>
                <w:rFonts w:hint="eastAsia" w:ascii="宋体" w:hAnsi="宋体" w:eastAsia="宋体" w:cs="宋体"/>
                <w:i w:val="0"/>
                <w:iCs w:val="0"/>
                <w:color w:val="000000"/>
                <w:sz w:val="18"/>
                <w:szCs w:val="18"/>
                <w:u w:val="none"/>
              </w:rPr>
            </w:pPr>
          </w:p>
        </w:tc>
        <w:tc>
          <w:tcPr>
            <w:tcW w:w="10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A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地方财政资金</w:t>
            </w:r>
          </w:p>
        </w:tc>
        <w:tc>
          <w:tcPr>
            <w:tcW w:w="8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4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1455</w:t>
            </w: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6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E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54.64%</w:t>
            </w:r>
          </w:p>
        </w:tc>
      </w:tr>
      <w:tr w14:paraId="7201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7"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46548">
            <w:pPr>
              <w:jc w:val="center"/>
              <w:rPr>
                <w:rFonts w:hint="eastAsia" w:ascii="宋体" w:hAnsi="宋体" w:eastAsia="宋体" w:cs="宋体"/>
                <w:i w:val="0"/>
                <w:iCs w:val="0"/>
                <w:color w:val="000000"/>
                <w:sz w:val="18"/>
                <w:szCs w:val="18"/>
                <w:u w:val="none"/>
              </w:rPr>
            </w:pPr>
          </w:p>
        </w:tc>
        <w:tc>
          <w:tcPr>
            <w:tcW w:w="10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6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8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6610">
            <w:pPr>
              <w:jc w:val="center"/>
              <w:rPr>
                <w:rFonts w:hint="eastAsia" w:ascii="宋体" w:hAnsi="宋体" w:eastAsia="宋体" w:cs="宋体"/>
                <w:i w:val="0"/>
                <w:iCs w:val="0"/>
                <w:color w:val="000000"/>
                <w:sz w:val="18"/>
                <w:szCs w:val="18"/>
                <w:u w:val="none"/>
              </w:rPr>
            </w:pP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FDF6">
            <w:pPr>
              <w:jc w:val="center"/>
              <w:rPr>
                <w:rFonts w:hint="eastAsia" w:ascii="宋体" w:hAnsi="宋体" w:eastAsia="宋体" w:cs="宋体"/>
                <w:i w:val="0"/>
                <w:iCs w:val="0"/>
                <w:color w:val="000000"/>
                <w:sz w:val="18"/>
                <w:szCs w:val="18"/>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A056">
            <w:pPr>
              <w:jc w:val="center"/>
              <w:rPr>
                <w:rFonts w:hint="eastAsia" w:ascii="宋体" w:hAnsi="宋体" w:eastAsia="宋体" w:cs="宋体"/>
                <w:i w:val="0"/>
                <w:iCs w:val="0"/>
                <w:color w:val="000000"/>
                <w:sz w:val="18"/>
                <w:szCs w:val="18"/>
                <w:u w:val="none"/>
              </w:rPr>
            </w:pPr>
          </w:p>
        </w:tc>
      </w:tr>
      <w:tr w14:paraId="003D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C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资金管理情况</w:t>
            </w:r>
          </w:p>
        </w:tc>
        <w:tc>
          <w:tcPr>
            <w:tcW w:w="6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76C4">
            <w:pPr>
              <w:rPr>
                <w:rFonts w:hint="eastAsia" w:ascii="宋体" w:hAnsi="宋体" w:eastAsia="宋体" w:cs="宋体"/>
                <w:i w:val="0"/>
                <w:iCs w:val="0"/>
                <w:color w:val="000000"/>
                <w:sz w:val="18"/>
                <w:szCs w:val="18"/>
                <w:u w:val="none"/>
              </w:rPr>
            </w:pPr>
          </w:p>
        </w:tc>
        <w:tc>
          <w:tcPr>
            <w:tcW w:w="248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4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情况说明</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C5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存在问题和改进措施</w:t>
            </w:r>
          </w:p>
        </w:tc>
      </w:tr>
      <w:tr w14:paraId="03CC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4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E06A">
            <w:pPr>
              <w:jc w:val="center"/>
              <w:rPr>
                <w:rFonts w:hint="eastAsia" w:ascii="宋体" w:hAnsi="宋体" w:eastAsia="宋体" w:cs="宋体"/>
                <w:i w:val="0"/>
                <w:iCs w:val="0"/>
                <w:color w:val="000000"/>
                <w:sz w:val="18"/>
                <w:szCs w:val="18"/>
                <w:u w:val="none"/>
              </w:rPr>
            </w:pPr>
          </w:p>
        </w:tc>
        <w:tc>
          <w:tcPr>
            <w:tcW w:w="6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B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分类科学性</w:t>
            </w:r>
          </w:p>
        </w:tc>
        <w:tc>
          <w:tcPr>
            <w:tcW w:w="24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EE7B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转移支付管理制度以及《安全生产预防和应急救援能力建设补助资金管理办法》《安全生产应急救援力量建设总体方案》《重点化工产业聚集区重大安全风险防控工作总体方案》《尾矿库风险隐患治理工作总体方案》《煤矿及重点非煤矿山重大灾害风险防控建设工作总体方案》等文件规定的资金使用范围和标准，同时综合项目实际，突出重点，按因素分配法和项目管理法相结合的分配方式合理分配项目资金。</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27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5BA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4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CF7D">
            <w:pPr>
              <w:jc w:val="center"/>
              <w:rPr>
                <w:rFonts w:hint="eastAsia" w:ascii="宋体" w:hAnsi="宋体" w:eastAsia="宋体" w:cs="宋体"/>
                <w:i w:val="0"/>
                <w:iCs w:val="0"/>
                <w:color w:val="000000"/>
                <w:sz w:val="18"/>
                <w:szCs w:val="18"/>
                <w:u w:val="none"/>
              </w:rPr>
            </w:pPr>
          </w:p>
        </w:tc>
        <w:tc>
          <w:tcPr>
            <w:tcW w:w="6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9D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下达及时性</w:t>
            </w:r>
          </w:p>
        </w:tc>
        <w:tc>
          <w:tcPr>
            <w:tcW w:w="24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BDD0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预算法及其实施条例，转移支付管理制度等规定，以及《安全生产预防和应急救援能力建设补助资金管理办法》《中央转移支付资金下达通知》等文件规定的时限分解下达项目资金，收到中央转移支付后按相关文件规定及时下达资金。资金下达及时。</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FE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C69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E22B">
            <w:pPr>
              <w:jc w:val="center"/>
              <w:rPr>
                <w:rFonts w:hint="eastAsia" w:ascii="宋体" w:hAnsi="宋体" w:eastAsia="宋体" w:cs="宋体"/>
                <w:i w:val="0"/>
                <w:iCs w:val="0"/>
                <w:color w:val="000000"/>
                <w:sz w:val="18"/>
                <w:szCs w:val="18"/>
                <w:u w:val="none"/>
              </w:rPr>
            </w:pPr>
          </w:p>
        </w:tc>
        <w:tc>
          <w:tcPr>
            <w:tcW w:w="6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6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拨付合规性</w:t>
            </w:r>
          </w:p>
        </w:tc>
        <w:tc>
          <w:tcPr>
            <w:tcW w:w="24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63F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严格按照国库集中支付制度有关规定支付资金，资金执行过程中，未发现违规将资金从国库转入财政专户或支付到预算单位实有资金账户等问题。</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6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194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3F48">
            <w:pPr>
              <w:jc w:val="center"/>
              <w:rPr>
                <w:rFonts w:hint="eastAsia" w:ascii="宋体" w:hAnsi="宋体" w:eastAsia="宋体" w:cs="宋体"/>
                <w:i w:val="0"/>
                <w:iCs w:val="0"/>
                <w:color w:val="000000"/>
                <w:sz w:val="18"/>
                <w:szCs w:val="18"/>
                <w:u w:val="none"/>
              </w:rPr>
            </w:pPr>
          </w:p>
        </w:tc>
        <w:tc>
          <w:tcPr>
            <w:tcW w:w="6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45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使用规范性</w:t>
            </w:r>
          </w:p>
        </w:tc>
        <w:tc>
          <w:tcPr>
            <w:tcW w:w="24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F51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严格按照下达预算的科目和项目执行，严格执行有关资金管理规定，专款专用，未发现截留、挤占、挪用或擅自调整等问题，资金使用规范。</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5C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28A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4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96D2">
            <w:pPr>
              <w:jc w:val="center"/>
              <w:rPr>
                <w:rFonts w:hint="eastAsia" w:ascii="宋体" w:hAnsi="宋体" w:eastAsia="宋体" w:cs="宋体"/>
                <w:i w:val="0"/>
                <w:iCs w:val="0"/>
                <w:color w:val="000000"/>
                <w:sz w:val="18"/>
                <w:szCs w:val="18"/>
                <w:u w:val="none"/>
              </w:rPr>
            </w:pPr>
          </w:p>
        </w:tc>
        <w:tc>
          <w:tcPr>
            <w:tcW w:w="6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5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执行准确性</w:t>
            </w:r>
          </w:p>
        </w:tc>
        <w:tc>
          <w:tcPr>
            <w:tcW w:w="24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75A6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按照上级下达和本级预算安排的金额执行，其中，中央财政转移支付资金执行率为100%，地方财政配套资金执行率为54.64%。整体预算执行准确性高。</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AAD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存在问题：由于部分尾矿库尚处于建设阶段，项目补助资金需待项目竣工验收后按照规定流程予以拨付，该项目预算执行率较低。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改进措施：协助相关市县对项目单位加快项目实施进度，加强过程管控与监督，提高资金拨付效率及使用率。</w:t>
            </w:r>
          </w:p>
        </w:tc>
      </w:tr>
      <w:tr w14:paraId="6087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77AC">
            <w:pPr>
              <w:jc w:val="center"/>
              <w:rPr>
                <w:rFonts w:hint="eastAsia" w:ascii="宋体" w:hAnsi="宋体" w:eastAsia="宋体" w:cs="宋体"/>
                <w:i w:val="0"/>
                <w:iCs w:val="0"/>
                <w:color w:val="000000"/>
                <w:sz w:val="18"/>
                <w:szCs w:val="18"/>
                <w:u w:val="none"/>
              </w:rPr>
            </w:pPr>
          </w:p>
        </w:tc>
        <w:tc>
          <w:tcPr>
            <w:tcW w:w="6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D9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预算绩效管理情况</w:t>
            </w:r>
          </w:p>
        </w:tc>
        <w:tc>
          <w:tcPr>
            <w:tcW w:w="24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653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省财政厅、应急管理厅在细化下达预算时同步下达了绩效目标，将安全生产预防和应急救援能力建设补助资金纳入省级资金预算，组织开展了事中绩效监控和事后绩效评价</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06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9DA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09BA">
            <w:pPr>
              <w:jc w:val="center"/>
              <w:rPr>
                <w:rFonts w:hint="eastAsia" w:ascii="宋体" w:hAnsi="宋体" w:eastAsia="宋体" w:cs="宋体"/>
                <w:i w:val="0"/>
                <w:iCs w:val="0"/>
                <w:color w:val="000000"/>
                <w:sz w:val="18"/>
                <w:szCs w:val="18"/>
                <w:u w:val="none"/>
              </w:rPr>
            </w:pPr>
          </w:p>
        </w:tc>
        <w:tc>
          <w:tcPr>
            <w:tcW w:w="6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7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支出责任履行情况</w:t>
            </w:r>
          </w:p>
        </w:tc>
        <w:tc>
          <w:tcPr>
            <w:tcW w:w="24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7C1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省财政厅、应急管理厅收到中央转移支付资金后，按照财政事权和支出责任划分有关规定，按相关文件规定的时限足额下拨至设区市或县（市、区）级财政、应急管理部门。</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0F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543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41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总体目标完成情况</w:t>
            </w:r>
          </w:p>
        </w:tc>
        <w:tc>
          <w:tcPr>
            <w:tcW w:w="234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33E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w:t>
            </w:r>
          </w:p>
        </w:tc>
        <w:tc>
          <w:tcPr>
            <w:tcW w:w="235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B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496C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9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4CF7909">
            <w:pPr>
              <w:jc w:val="center"/>
              <w:rPr>
                <w:rFonts w:hint="eastAsia" w:ascii="宋体" w:hAnsi="宋体" w:eastAsia="宋体" w:cs="宋体"/>
                <w:i w:val="0"/>
                <w:iCs w:val="0"/>
                <w:color w:val="000000"/>
                <w:sz w:val="18"/>
                <w:szCs w:val="18"/>
                <w:u w:val="none"/>
              </w:rPr>
            </w:pPr>
          </w:p>
        </w:tc>
        <w:tc>
          <w:tcPr>
            <w:tcW w:w="2349" w:type="pct"/>
            <w:gridSpan w:val="9"/>
            <w:tcBorders>
              <w:top w:val="single" w:color="000000" w:sz="4" w:space="0"/>
              <w:left w:val="single" w:color="000000" w:sz="4" w:space="0"/>
              <w:bottom w:val="single" w:color="auto" w:sz="4" w:space="0"/>
              <w:right w:val="nil"/>
            </w:tcBorders>
            <w:shd w:val="clear" w:color="auto" w:fill="auto"/>
            <w:vAlign w:val="center"/>
          </w:tcPr>
          <w:p w14:paraId="78174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全面摸清尾矿库安全环境风险的基础上，按照尾矿库闭库相关法律法规及技术规范，对该尾矿库实施闭库销号治理，通过坝坡整治、改造排洪系统、改造防渗设施等措施全面提升尾矿库安全风险防控能力，恢复生态环境，消除安全隐患。</w:t>
            </w:r>
          </w:p>
        </w:tc>
        <w:tc>
          <w:tcPr>
            <w:tcW w:w="2351" w:type="pct"/>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27E77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尾矿库完成销库时间需9至14个月,预计2025年6月30日前可完成。截至2024年12月31日,项目已取得阶段性成果，5座尾矿库已顺利完成销号治理。其余6座尾矿库的治理工作正按照既定计划推进当中。尽管项目成效尚未完全彰显，但随着各项治理工作的持续深入，尾矿库的安全水平与生态环境状况必将得到显著改善。</w:t>
            </w:r>
          </w:p>
        </w:tc>
      </w:tr>
      <w:tr w14:paraId="0AF8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107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3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D09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00990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6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C520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852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73D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全年实际完成值</w:t>
            </w:r>
          </w:p>
        </w:tc>
        <w:tc>
          <w:tcPr>
            <w:tcW w:w="16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D1A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未完成原因和改进措施</w:t>
            </w:r>
          </w:p>
        </w:tc>
      </w:tr>
      <w:tr w14:paraId="59BF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821E65">
            <w:pPr>
              <w:jc w:val="center"/>
              <w:rPr>
                <w:rFonts w:hint="eastAsia" w:ascii="宋体" w:hAnsi="宋体" w:eastAsia="宋体" w:cs="宋体"/>
                <w:i w:val="0"/>
                <w:iCs w:val="0"/>
                <w:color w:val="000000"/>
                <w:sz w:val="18"/>
                <w:szCs w:val="18"/>
                <w:u w:val="none"/>
              </w:rPr>
            </w:pPr>
          </w:p>
        </w:tc>
        <w:tc>
          <w:tcPr>
            <w:tcW w:w="30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14B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4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F3D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6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8DBF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隐患治理率</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475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FB9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45.45%</w:t>
            </w:r>
          </w:p>
        </w:tc>
        <w:tc>
          <w:tcPr>
            <w:tcW w:w="1611"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B0D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未完成原因：项目建设期限未到。截至2024年12月31日，11个尾矿库已完成治理且验收合格的项目5个，其余6个尾矿库预计2025年6月底前能完成，目前项目在有序推进中。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170E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732A9">
            <w:pPr>
              <w:jc w:val="center"/>
              <w:rPr>
                <w:rFonts w:hint="eastAsia" w:ascii="宋体" w:hAnsi="宋体" w:eastAsia="宋体" w:cs="宋体"/>
                <w:i w:val="0"/>
                <w:iCs w:val="0"/>
                <w:color w:val="000000"/>
                <w:sz w:val="18"/>
                <w:szCs w:val="18"/>
                <w:u w:val="none"/>
              </w:rPr>
            </w:pPr>
          </w:p>
        </w:tc>
        <w:tc>
          <w:tcPr>
            <w:tcW w:w="30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0AEBC2">
            <w:pPr>
              <w:jc w:val="center"/>
              <w:rPr>
                <w:rFonts w:hint="eastAsia" w:ascii="宋体" w:hAnsi="宋体" w:eastAsia="宋体" w:cs="宋体"/>
                <w:i w:val="0"/>
                <w:iCs w:val="0"/>
                <w:color w:val="000000"/>
                <w:sz w:val="18"/>
                <w:szCs w:val="18"/>
                <w:u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3A979">
            <w:pPr>
              <w:jc w:val="center"/>
              <w:rPr>
                <w:rFonts w:hint="eastAsia" w:ascii="宋体" w:hAnsi="宋体" w:eastAsia="宋体" w:cs="宋体"/>
                <w:i w:val="0"/>
                <w:iCs w:val="0"/>
                <w:color w:val="000000"/>
                <w:sz w:val="18"/>
                <w:szCs w:val="18"/>
                <w:u w:val="none"/>
              </w:rPr>
            </w:pPr>
          </w:p>
        </w:tc>
        <w:tc>
          <w:tcPr>
            <w:tcW w:w="116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F71F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单项工程合格率</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89D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EF6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45.45%</w:t>
            </w:r>
          </w:p>
        </w:tc>
        <w:tc>
          <w:tcPr>
            <w:tcW w:w="1611"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82A9E">
            <w:pPr>
              <w:jc w:val="center"/>
              <w:rPr>
                <w:rFonts w:hint="eastAsia" w:ascii="宋体" w:hAnsi="宋体" w:eastAsia="宋体" w:cs="宋体"/>
                <w:i w:val="0"/>
                <w:iCs w:val="0"/>
                <w:color w:val="000000"/>
                <w:sz w:val="18"/>
                <w:szCs w:val="18"/>
                <w:u w:val="none"/>
              </w:rPr>
            </w:pPr>
          </w:p>
        </w:tc>
      </w:tr>
      <w:tr w14:paraId="6A6E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630430">
            <w:pPr>
              <w:jc w:val="center"/>
              <w:rPr>
                <w:rFonts w:hint="eastAsia" w:ascii="宋体" w:hAnsi="宋体" w:eastAsia="宋体" w:cs="宋体"/>
                <w:i w:val="0"/>
                <w:iCs w:val="0"/>
                <w:color w:val="000000"/>
                <w:sz w:val="18"/>
                <w:szCs w:val="18"/>
                <w:u w:val="none"/>
              </w:rPr>
            </w:pPr>
          </w:p>
        </w:tc>
        <w:tc>
          <w:tcPr>
            <w:tcW w:w="30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7C560">
            <w:pPr>
              <w:jc w:val="center"/>
              <w:rPr>
                <w:rFonts w:hint="eastAsia" w:ascii="宋体" w:hAnsi="宋体" w:eastAsia="宋体" w:cs="宋体"/>
                <w:i w:val="0"/>
                <w:iCs w:val="0"/>
                <w:color w:val="000000"/>
                <w:sz w:val="18"/>
                <w:szCs w:val="18"/>
                <w:u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82175">
            <w:pPr>
              <w:jc w:val="center"/>
              <w:rPr>
                <w:rFonts w:hint="eastAsia" w:ascii="宋体" w:hAnsi="宋体" w:eastAsia="宋体" w:cs="宋体"/>
                <w:i w:val="0"/>
                <w:iCs w:val="0"/>
                <w:color w:val="000000"/>
                <w:sz w:val="18"/>
                <w:szCs w:val="18"/>
                <w:u w:val="none"/>
              </w:rPr>
            </w:pPr>
          </w:p>
        </w:tc>
        <w:tc>
          <w:tcPr>
            <w:tcW w:w="529"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CE54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坝体抗滑稳定性系数K</w:t>
            </w: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89B4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德化县鑫强矿业</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136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D41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041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未完成原因：项目建设期限未到，预计2025年6月底前能完成。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11BE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CEEB2E">
            <w:pPr>
              <w:jc w:val="center"/>
              <w:rPr>
                <w:rFonts w:hint="eastAsia" w:ascii="宋体" w:hAnsi="宋体" w:eastAsia="宋体" w:cs="宋体"/>
                <w:i w:val="0"/>
                <w:iCs w:val="0"/>
                <w:color w:val="000000"/>
                <w:sz w:val="18"/>
                <w:szCs w:val="18"/>
                <w:u w:val="none"/>
              </w:rPr>
            </w:pPr>
          </w:p>
        </w:tc>
        <w:tc>
          <w:tcPr>
            <w:tcW w:w="30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2C21C9">
            <w:pPr>
              <w:jc w:val="center"/>
              <w:rPr>
                <w:rFonts w:hint="eastAsia" w:ascii="宋体" w:hAnsi="宋体" w:eastAsia="宋体" w:cs="宋体"/>
                <w:i w:val="0"/>
                <w:iCs w:val="0"/>
                <w:color w:val="000000"/>
                <w:sz w:val="18"/>
                <w:szCs w:val="18"/>
                <w:u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6C102">
            <w:pPr>
              <w:jc w:val="center"/>
              <w:rPr>
                <w:rFonts w:hint="eastAsia" w:ascii="宋体" w:hAnsi="宋体" w:eastAsia="宋体" w:cs="宋体"/>
                <w:i w:val="0"/>
                <w:iCs w:val="0"/>
                <w:color w:val="000000"/>
                <w:sz w:val="18"/>
                <w:szCs w:val="18"/>
                <w:u w:val="none"/>
              </w:rPr>
            </w:pPr>
          </w:p>
        </w:tc>
        <w:tc>
          <w:tcPr>
            <w:tcW w:w="52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07D83">
            <w:pPr>
              <w:jc w:val="left"/>
              <w:rPr>
                <w:rFonts w:hint="eastAsia" w:ascii="宋体" w:hAnsi="宋体" w:eastAsia="宋体" w:cs="宋体"/>
                <w:i w:val="0"/>
                <w:iCs w:val="0"/>
                <w:color w:val="000000"/>
                <w:sz w:val="18"/>
                <w:szCs w:val="18"/>
                <w:u w:val="none"/>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54B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大田县广福/宝树，尤溪县三富/金鸡岭/盛隆矿/鑫达业，</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ADB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6B1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A37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未完成原因：项目建设期限未到。其中大田县广福、宝树、金鸡岭、盛隆矿共4座尾矿库已完成并达标，尤溪县三富、鑫达业2座尾矿库正在闭库施工中，预计2025年6月底前能完成。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5F1E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BEFA4">
            <w:pPr>
              <w:jc w:val="center"/>
              <w:rPr>
                <w:rFonts w:hint="eastAsia" w:ascii="宋体" w:hAnsi="宋体" w:eastAsia="宋体" w:cs="宋体"/>
                <w:i w:val="0"/>
                <w:iCs w:val="0"/>
                <w:color w:val="000000"/>
                <w:sz w:val="18"/>
                <w:szCs w:val="18"/>
                <w:u w:val="none"/>
              </w:rPr>
            </w:pPr>
          </w:p>
        </w:tc>
        <w:tc>
          <w:tcPr>
            <w:tcW w:w="30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EE95D">
            <w:pPr>
              <w:jc w:val="center"/>
              <w:rPr>
                <w:rFonts w:hint="eastAsia" w:ascii="宋体" w:hAnsi="宋体" w:eastAsia="宋体" w:cs="宋体"/>
                <w:i w:val="0"/>
                <w:iCs w:val="0"/>
                <w:color w:val="000000"/>
                <w:sz w:val="18"/>
                <w:szCs w:val="18"/>
                <w:u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6CF6D7">
            <w:pPr>
              <w:jc w:val="center"/>
              <w:rPr>
                <w:rFonts w:hint="eastAsia" w:ascii="宋体" w:hAnsi="宋体" w:eastAsia="宋体" w:cs="宋体"/>
                <w:i w:val="0"/>
                <w:iCs w:val="0"/>
                <w:color w:val="000000"/>
                <w:sz w:val="18"/>
                <w:szCs w:val="18"/>
                <w:u w:val="none"/>
              </w:rPr>
            </w:pPr>
          </w:p>
        </w:tc>
        <w:tc>
          <w:tcPr>
            <w:tcW w:w="52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2FA3C">
            <w:pPr>
              <w:jc w:val="left"/>
              <w:rPr>
                <w:rFonts w:hint="eastAsia" w:ascii="宋体" w:hAnsi="宋体" w:eastAsia="宋体" w:cs="宋体"/>
                <w:i w:val="0"/>
                <w:iCs w:val="0"/>
                <w:color w:val="000000"/>
                <w:sz w:val="18"/>
                <w:szCs w:val="18"/>
                <w:u w:val="none"/>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6F1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龙岩富恒铁矿-杨梅坪/黄洋，漳平市磊鑫铅锌矿</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F03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≥1.15（正常运行期）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≥1.05（洪水运行期</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256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1B99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未完成原因：项目建设期限未到，预计2025年6月底前能完成，目前项目在有序推进中。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2C77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9707A">
            <w:pPr>
              <w:jc w:val="center"/>
              <w:rPr>
                <w:rFonts w:hint="eastAsia" w:ascii="宋体" w:hAnsi="宋体" w:eastAsia="宋体" w:cs="宋体"/>
                <w:i w:val="0"/>
                <w:iCs w:val="0"/>
                <w:color w:val="000000"/>
                <w:sz w:val="18"/>
                <w:szCs w:val="18"/>
                <w:u w:val="none"/>
              </w:rPr>
            </w:pPr>
          </w:p>
        </w:tc>
        <w:tc>
          <w:tcPr>
            <w:tcW w:w="30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7D758">
            <w:pPr>
              <w:jc w:val="center"/>
              <w:rPr>
                <w:rFonts w:hint="eastAsia" w:ascii="宋体" w:hAnsi="宋体" w:eastAsia="宋体" w:cs="宋体"/>
                <w:i w:val="0"/>
                <w:iCs w:val="0"/>
                <w:color w:val="000000"/>
                <w:sz w:val="18"/>
                <w:szCs w:val="18"/>
                <w:u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BEDA3F">
            <w:pPr>
              <w:jc w:val="center"/>
              <w:rPr>
                <w:rFonts w:hint="eastAsia" w:ascii="宋体" w:hAnsi="宋体" w:eastAsia="宋体" w:cs="宋体"/>
                <w:i w:val="0"/>
                <w:iCs w:val="0"/>
                <w:color w:val="000000"/>
                <w:sz w:val="18"/>
                <w:szCs w:val="18"/>
                <w:u w:val="none"/>
              </w:rPr>
            </w:pPr>
          </w:p>
        </w:tc>
        <w:tc>
          <w:tcPr>
            <w:tcW w:w="52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F28E13">
            <w:pPr>
              <w:jc w:val="left"/>
              <w:rPr>
                <w:rFonts w:hint="eastAsia" w:ascii="宋体" w:hAnsi="宋体" w:eastAsia="宋体" w:cs="宋体"/>
                <w:i w:val="0"/>
                <w:iCs w:val="0"/>
                <w:color w:val="000000"/>
                <w:sz w:val="18"/>
                <w:szCs w:val="18"/>
                <w:u w:val="none"/>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13F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紫金矿业</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42F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≥1.774</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7F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1.774</w:t>
            </w:r>
          </w:p>
        </w:tc>
        <w:tc>
          <w:tcPr>
            <w:tcW w:w="16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1C7763">
            <w:pPr>
              <w:rPr>
                <w:rFonts w:hint="eastAsia" w:ascii="宋体" w:hAnsi="宋体" w:eastAsia="宋体" w:cs="宋体"/>
                <w:i w:val="0"/>
                <w:iCs w:val="0"/>
                <w:color w:val="000000"/>
                <w:sz w:val="18"/>
                <w:szCs w:val="18"/>
                <w:u w:val="none"/>
              </w:rPr>
            </w:pPr>
          </w:p>
        </w:tc>
      </w:tr>
      <w:tr w14:paraId="397C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A0A99">
            <w:pPr>
              <w:jc w:val="center"/>
              <w:rPr>
                <w:rFonts w:hint="eastAsia" w:ascii="宋体" w:hAnsi="宋体" w:eastAsia="宋体" w:cs="宋体"/>
                <w:i w:val="0"/>
                <w:iCs w:val="0"/>
                <w:color w:val="000000"/>
                <w:sz w:val="18"/>
                <w:szCs w:val="18"/>
                <w:u w:val="none"/>
              </w:rPr>
            </w:pPr>
          </w:p>
        </w:tc>
        <w:tc>
          <w:tcPr>
            <w:tcW w:w="30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DE4DC">
            <w:pPr>
              <w:jc w:val="center"/>
              <w:rPr>
                <w:rFonts w:hint="eastAsia" w:ascii="宋体" w:hAnsi="宋体" w:eastAsia="宋体" w:cs="宋体"/>
                <w:i w:val="0"/>
                <w:iCs w:val="0"/>
                <w:color w:val="000000"/>
                <w:sz w:val="18"/>
                <w:szCs w:val="18"/>
                <w:u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BC0CC">
            <w:pPr>
              <w:jc w:val="center"/>
              <w:rPr>
                <w:rFonts w:hint="eastAsia" w:ascii="宋体" w:hAnsi="宋体" w:eastAsia="宋体" w:cs="宋体"/>
                <w:i w:val="0"/>
                <w:iCs w:val="0"/>
                <w:color w:val="000000"/>
                <w:sz w:val="18"/>
                <w:szCs w:val="18"/>
                <w:u w:val="none"/>
              </w:rPr>
            </w:pPr>
          </w:p>
        </w:tc>
        <w:tc>
          <w:tcPr>
            <w:tcW w:w="529"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460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防洪设防标准</w:t>
            </w: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BCC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除漳平市磊鑫铅锌矿外的其余10个矿业</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287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≥200年一遇</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BC5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462A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未完成原因：项目建设期限未到，截至2024年12月31日，10个尾矿库已完成治理且验收合格的项目5个，其余5个尾矿库预计2025年6月底前能完成，目前项目在有序推进中。      改进措施：后续拟加快项目执行进度，加强过程管控，确保项目目标的达成。</w:t>
            </w:r>
          </w:p>
        </w:tc>
      </w:tr>
      <w:tr w14:paraId="3761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63B0D">
            <w:pPr>
              <w:jc w:val="center"/>
              <w:rPr>
                <w:rFonts w:hint="eastAsia" w:ascii="宋体" w:hAnsi="宋体" w:eastAsia="宋体" w:cs="宋体"/>
                <w:i w:val="0"/>
                <w:iCs w:val="0"/>
                <w:color w:val="000000"/>
                <w:sz w:val="18"/>
                <w:szCs w:val="18"/>
                <w:u w:val="none"/>
              </w:rPr>
            </w:pPr>
          </w:p>
        </w:tc>
        <w:tc>
          <w:tcPr>
            <w:tcW w:w="30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FE5CB7">
            <w:pPr>
              <w:jc w:val="center"/>
              <w:rPr>
                <w:rFonts w:hint="eastAsia" w:ascii="宋体" w:hAnsi="宋体" w:eastAsia="宋体" w:cs="宋体"/>
                <w:i w:val="0"/>
                <w:iCs w:val="0"/>
                <w:color w:val="000000"/>
                <w:sz w:val="18"/>
                <w:szCs w:val="18"/>
                <w:u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3BECD">
            <w:pPr>
              <w:jc w:val="center"/>
              <w:rPr>
                <w:rFonts w:hint="eastAsia" w:ascii="宋体" w:hAnsi="宋体" w:eastAsia="宋体" w:cs="宋体"/>
                <w:i w:val="0"/>
                <w:iCs w:val="0"/>
                <w:color w:val="000000"/>
                <w:sz w:val="18"/>
                <w:szCs w:val="18"/>
                <w:u w:val="none"/>
              </w:rPr>
            </w:pPr>
          </w:p>
        </w:tc>
        <w:tc>
          <w:tcPr>
            <w:tcW w:w="52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E49F3">
            <w:pPr>
              <w:jc w:val="left"/>
              <w:rPr>
                <w:rFonts w:hint="eastAsia" w:ascii="宋体" w:hAnsi="宋体" w:eastAsia="宋体" w:cs="宋体"/>
                <w:i w:val="0"/>
                <w:iCs w:val="0"/>
                <w:color w:val="000000"/>
                <w:sz w:val="18"/>
                <w:szCs w:val="18"/>
                <w:u w:val="none"/>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651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漳平市磊鑫铅锌矿</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C48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≥100年一遇</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8C1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4CD7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未完成原因：项目建设期限未到；预计2025年6月底前能完成，目前项目在有序推进中。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1E2B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59367E">
            <w:pPr>
              <w:jc w:val="center"/>
              <w:rPr>
                <w:rFonts w:hint="eastAsia" w:ascii="宋体" w:hAnsi="宋体" w:eastAsia="宋体" w:cs="宋体"/>
                <w:i w:val="0"/>
                <w:iCs w:val="0"/>
                <w:color w:val="000000"/>
                <w:sz w:val="18"/>
                <w:szCs w:val="18"/>
                <w:u w:val="none"/>
              </w:rPr>
            </w:pPr>
          </w:p>
        </w:tc>
        <w:tc>
          <w:tcPr>
            <w:tcW w:w="30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426DE">
            <w:pPr>
              <w:jc w:val="center"/>
              <w:rPr>
                <w:rFonts w:hint="eastAsia" w:ascii="宋体" w:hAnsi="宋体" w:eastAsia="宋体" w:cs="宋体"/>
                <w:i w:val="0"/>
                <w:iCs w:val="0"/>
                <w:color w:val="000000"/>
                <w:sz w:val="18"/>
                <w:szCs w:val="18"/>
                <w:u w:val="none"/>
              </w:rPr>
            </w:pPr>
          </w:p>
        </w:tc>
        <w:tc>
          <w:tcPr>
            <w:tcW w:w="4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D0D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529"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C6A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建设周期</w:t>
            </w: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5F3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德化县鑫强矿业</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78A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≤8个月</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099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工程暂未完工</w:t>
            </w:r>
          </w:p>
        </w:tc>
        <w:tc>
          <w:tcPr>
            <w:tcW w:w="16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495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未完成原因：项目建设期限未到；该项目2024年9月开工建设，预计2025年5月底前可完工，目前项目在有序推进中。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0E5B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287CA">
            <w:pPr>
              <w:jc w:val="center"/>
              <w:rPr>
                <w:rFonts w:hint="eastAsia" w:ascii="宋体" w:hAnsi="宋体" w:eastAsia="宋体" w:cs="宋体"/>
                <w:i w:val="0"/>
                <w:iCs w:val="0"/>
                <w:color w:val="000000"/>
                <w:sz w:val="18"/>
                <w:szCs w:val="18"/>
                <w:u w:val="none"/>
              </w:rPr>
            </w:pPr>
          </w:p>
        </w:tc>
        <w:tc>
          <w:tcPr>
            <w:tcW w:w="30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DDEE7">
            <w:pPr>
              <w:jc w:val="center"/>
              <w:rPr>
                <w:rFonts w:hint="eastAsia" w:ascii="宋体" w:hAnsi="宋体" w:eastAsia="宋体" w:cs="宋体"/>
                <w:i w:val="0"/>
                <w:iCs w:val="0"/>
                <w:color w:val="000000"/>
                <w:sz w:val="18"/>
                <w:szCs w:val="18"/>
                <w:u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22897">
            <w:pPr>
              <w:jc w:val="center"/>
              <w:rPr>
                <w:rFonts w:hint="eastAsia" w:ascii="宋体" w:hAnsi="宋体" w:eastAsia="宋体" w:cs="宋体"/>
                <w:i w:val="0"/>
                <w:iCs w:val="0"/>
                <w:color w:val="000000"/>
                <w:sz w:val="18"/>
                <w:szCs w:val="18"/>
                <w:u w:val="none"/>
              </w:rPr>
            </w:pPr>
          </w:p>
        </w:tc>
        <w:tc>
          <w:tcPr>
            <w:tcW w:w="52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988EF9">
            <w:pPr>
              <w:jc w:val="center"/>
              <w:rPr>
                <w:rFonts w:hint="eastAsia" w:ascii="宋体" w:hAnsi="宋体" w:eastAsia="宋体" w:cs="宋体"/>
                <w:i w:val="0"/>
                <w:iCs w:val="0"/>
                <w:color w:val="000000"/>
                <w:sz w:val="18"/>
                <w:szCs w:val="18"/>
                <w:u w:val="none"/>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499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漳平市磊鑫铅锌矿</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8DD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≤6个月</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28B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工程暂未完工，申请延期</w:t>
            </w:r>
          </w:p>
        </w:tc>
        <w:tc>
          <w:tcPr>
            <w:tcW w:w="16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EE2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未完成原因：项目建设期限未到；该项目2024年3月开工建设，因涉及用地、资金等问题，推进较慢。经漳平市应急管理局批准其闭库销号延期至2025年6月30日；目前项目在有序推进中。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0E8C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C0B910">
            <w:pPr>
              <w:jc w:val="center"/>
              <w:rPr>
                <w:rFonts w:hint="eastAsia" w:ascii="宋体" w:hAnsi="宋体" w:eastAsia="宋体" w:cs="宋体"/>
                <w:i w:val="0"/>
                <w:iCs w:val="0"/>
                <w:color w:val="000000"/>
                <w:sz w:val="18"/>
                <w:szCs w:val="18"/>
                <w:u w:val="none"/>
              </w:rPr>
            </w:pPr>
          </w:p>
        </w:tc>
        <w:tc>
          <w:tcPr>
            <w:tcW w:w="30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FBF87">
            <w:pPr>
              <w:jc w:val="center"/>
              <w:rPr>
                <w:rFonts w:hint="eastAsia" w:ascii="宋体" w:hAnsi="宋体" w:eastAsia="宋体" w:cs="宋体"/>
                <w:i w:val="0"/>
                <w:iCs w:val="0"/>
                <w:color w:val="000000"/>
                <w:sz w:val="18"/>
                <w:szCs w:val="18"/>
                <w:u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BB2D48">
            <w:pPr>
              <w:jc w:val="center"/>
              <w:rPr>
                <w:rFonts w:hint="eastAsia" w:ascii="宋体" w:hAnsi="宋体" w:eastAsia="宋体" w:cs="宋体"/>
                <w:i w:val="0"/>
                <w:iCs w:val="0"/>
                <w:color w:val="000000"/>
                <w:sz w:val="18"/>
                <w:szCs w:val="18"/>
                <w:u w:val="none"/>
              </w:rPr>
            </w:pPr>
          </w:p>
        </w:tc>
        <w:tc>
          <w:tcPr>
            <w:tcW w:w="52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E19B5">
            <w:pPr>
              <w:jc w:val="center"/>
              <w:rPr>
                <w:rFonts w:hint="eastAsia" w:ascii="宋体" w:hAnsi="宋体" w:eastAsia="宋体" w:cs="宋体"/>
                <w:i w:val="0"/>
                <w:iCs w:val="0"/>
                <w:color w:val="000000"/>
                <w:sz w:val="18"/>
                <w:szCs w:val="18"/>
                <w:u w:val="none"/>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76AF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大田县广福/宝树，尤溪县三富/金鸡岭/盛隆/鑫达矿业，龙岩富恒铁矿-杨梅坪/黄洋，紫金矿业，</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C5D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DF8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E5A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其中，龙岩黄洋和杨梅坪2座尾矿库因涉及用地问题，推进较慢；经曹溪街道办协调，于2024年12月中旬协调完毕；经龙岩新罗区应急管理局批准其闭库销号延期至2025年6月30日。三明尤溪县三富和鑫达矿业2座尾矿库目前在有序推进中，预计2025年6月30日前能完成。其他5座尾矿库已完工验收，建设期小于1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6772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2F16A">
            <w:pPr>
              <w:jc w:val="center"/>
              <w:rPr>
                <w:rFonts w:hint="eastAsia" w:ascii="宋体" w:hAnsi="宋体" w:eastAsia="宋体" w:cs="宋体"/>
                <w:i w:val="0"/>
                <w:iCs w:val="0"/>
                <w:color w:val="000000"/>
                <w:sz w:val="18"/>
                <w:szCs w:val="18"/>
                <w:u w:val="none"/>
              </w:rPr>
            </w:pPr>
          </w:p>
        </w:tc>
        <w:tc>
          <w:tcPr>
            <w:tcW w:w="30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379012">
            <w:pPr>
              <w:jc w:val="center"/>
              <w:rPr>
                <w:rFonts w:hint="eastAsia" w:ascii="宋体" w:hAnsi="宋体" w:eastAsia="宋体" w:cs="宋体"/>
                <w:i w:val="0"/>
                <w:iCs w:val="0"/>
                <w:color w:val="000000"/>
                <w:sz w:val="18"/>
                <w:szCs w:val="18"/>
                <w:u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F9B97">
            <w:pPr>
              <w:jc w:val="center"/>
              <w:rPr>
                <w:rFonts w:hint="eastAsia" w:ascii="宋体" w:hAnsi="宋体" w:eastAsia="宋体" w:cs="宋体"/>
                <w:i w:val="0"/>
                <w:iCs w:val="0"/>
                <w:color w:val="000000"/>
                <w:sz w:val="18"/>
                <w:szCs w:val="18"/>
                <w:u w:val="none"/>
              </w:rPr>
            </w:pPr>
          </w:p>
        </w:tc>
        <w:tc>
          <w:tcPr>
            <w:tcW w:w="529"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018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完成销号时间</w:t>
            </w: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8B9A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德化县鑫强矿业</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168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≤9个月</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44C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工程暂未完工</w:t>
            </w:r>
          </w:p>
        </w:tc>
        <w:tc>
          <w:tcPr>
            <w:tcW w:w="16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5ED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未完成原因：项目建设期限未到；该项目2024年9月开工建设，预计2025年5月底前可完工，目前项目在有序推进中。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4110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D86A9">
            <w:pPr>
              <w:jc w:val="center"/>
              <w:rPr>
                <w:rFonts w:hint="eastAsia" w:ascii="宋体" w:hAnsi="宋体" w:eastAsia="宋体" w:cs="宋体"/>
                <w:i w:val="0"/>
                <w:iCs w:val="0"/>
                <w:color w:val="000000"/>
                <w:sz w:val="18"/>
                <w:szCs w:val="18"/>
                <w:u w:val="none"/>
              </w:rPr>
            </w:pPr>
          </w:p>
        </w:tc>
        <w:tc>
          <w:tcPr>
            <w:tcW w:w="30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13CBA1">
            <w:pPr>
              <w:jc w:val="center"/>
              <w:rPr>
                <w:rFonts w:hint="eastAsia" w:ascii="宋体" w:hAnsi="宋体" w:eastAsia="宋体" w:cs="宋体"/>
                <w:i w:val="0"/>
                <w:iCs w:val="0"/>
                <w:color w:val="000000"/>
                <w:sz w:val="18"/>
                <w:szCs w:val="18"/>
                <w:u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937A4">
            <w:pPr>
              <w:jc w:val="center"/>
              <w:rPr>
                <w:rFonts w:hint="eastAsia" w:ascii="宋体" w:hAnsi="宋体" w:eastAsia="宋体" w:cs="宋体"/>
                <w:i w:val="0"/>
                <w:iCs w:val="0"/>
                <w:color w:val="000000"/>
                <w:sz w:val="18"/>
                <w:szCs w:val="18"/>
                <w:u w:val="none"/>
              </w:rPr>
            </w:pPr>
          </w:p>
        </w:tc>
        <w:tc>
          <w:tcPr>
            <w:tcW w:w="52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ACFED">
            <w:pPr>
              <w:jc w:val="left"/>
              <w:rPr>
                <w:rFonts w:hint="eastAsia" w:ascii="宋体" w:hAnsi="宋体" w:eastAsia="宋体" w:cs="宋体"/>
                <w:i w:val="0"/>
                <w:iCs w:val="0"/>
                <w:color w:val="000000"/>
                <w:sz w:val="18"/>
                <w:szCs w:val="18"/>
                <w:u w:val="none"/>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A6B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漳平市磊鑫铅锌矿</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D68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422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工程暂未完工，申请延期</w:t>
            </w:r>
          </w:p>
        </w:tc>
        <w:tc>
          <w:tcPr>
            <w:tcW w:w="16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DB7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未完成原因：项目建设期限未到；该项目2024年3月开工建设，因涉及用地、资金等问题，推进较慢。经漳平市应急管理局批准其闭库销号延期至2025年6月30日；目前项目在有序推进中。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7AD0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7A1FEB">
            <w:pPr>
              <w:jc w:val="center"/>
              <w:rPr>
                <w:rFonts w:hint="eastAsia" w:ascii="宋体" w:hAnsi="宋体" w:eastAsia="宋体" w:cs="宋体"/>
                <w:i w:val="0"/>
                <w:iCs w:val="0"/>
                <w:color w:val="000000"/>
                <w:sz w:val="18"/>
                <w:szCs w:val="18"/>
                <w:u w:val="none"/>
              </w:rPr>
            </w:pPr>
          </w:p>
        </w:tc>
        <w:tc>
          <w:tcPr>
            <w:tcW w:w="30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6583AA">
            <w:pPr>
              <w:jc w:val="center"/>
              <w:rPr>
                <w:rFonts w:hint="eastAsia" w:ascii="宋体" w:hAnsi="宋体" w:eastAsia="宋体" w:cs="宋体"/>
                <w:i w:val="0"/>
                <w:iCs w:val="0"/>
                <w:color w:val="000000"/>
                <w:sz w:val="18"/>
                <w:szCs w:val="18"/>
                <w:u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3AF44">
            <w:pPr>
              <w:jc w:val="center"/>
              <w:rPr>
                <w:rFonts w:hint="eastAsia" w:ascii="宋体" w:hAnsi="宋体" w:eastAsia="宋体" w:cs="宋体"/>
                <w:i w:val="0"/>
                <w:iCs w:val="0"/>
                <w:color w:val="000000"/>
                <w:sz w:val="18"/>
                <w:szCs w:val="18"/>
                <w:u w:val="none"/>
              </w:rPr>
            </w:pPr>
          </w:p>
        </w:tc>
        <w:tc>
          <w:tcPr>
            <w:tcW w:w="52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2E0E8">
            <w:pPr>
              <w:jc w:val="left"/>
              <w:rPr>
                <w:rFonts w:hint="eastAsia" w:ascii="宋体" w:hAnsi="宋体" w:eastAsia="宋体" w:cs="宋体"/>
                <w:i w:val="0"/>
                <w:iCs w:val="0"/>
                <w:color w:val="000000"/>
                <w:sz w:val="18"/>
                <w:szCs w:val="18"/>
                <w:u w:val="none"/>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755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大田县广福/宝树矿业，龙岩富恒铁矿-杨梅坪/黄洋，紫金矿业</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8C1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≤1年零2个月</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1B5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721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其中，龙岩黄洋和杨梅坪2座尾矿库因涉及用地问题，推进较慢；经曹溪街道办协调，于2024年12月中旬协调完毕；经龙岩新罗区应急管理局批准其闭库销号延期至2025年6月30日。其他3座尾矿库已完工验收，完成销号时间小于1年零2个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22B3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2CCA4">
            <w:pPr>
              <w:jc w:val="center"/>
              <w:rPr>
                <w:rFonts w:hint="eastAsia" w:ascii="宋体" w:hAnsi="宋体" w:eastAsia="宋体" w:cs="宋体"/>
                <w:i w:val="0"/>
                <w:iCs w:val="0"/>
                <w:color w:val="000000"/>
                <w:sz w:val="18"/>
                <w:szCs w:val="18"/>
                <w:u w:val="none"/>
              </w:rPr>
            </w:pPr>
          </w:p>
        </w:tc>
        <w:tc>
          <w:tcPr>
            <w:tcW w:w="30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F7609">
            <w:pPr>
              <w:jc w:val="center"/>
              <w:rPr>
                <w:rFonts w:hint="eastAsia" w:ascii="宋体" w:hAnsi="宋体" w:eastAsia="宋体" w:cs="宋体"/>
                <w:i w:val="0"/>
                <w:iCs w:val="0"/>
                <w:color w:val="000000"/>
                <w:sz w:val="18"/>
                <w:szCs w:val="18"/>
                <w:u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15C56">
            <w:pPr>
              <w:jc w:val="center"/>
              <w:rPr>
                <w:rFonts w:hint="eastAsia" w:ascii="宋体" w:hAnsi="宋体" w:eastAsia="宋体" w:cs="宋体"/>
                <w:i w:val="0"/>
                <w:iCs w:val="0"/>
                <w:color w:val="000000"/>
                <w:sz w:val="18"/>
                <w:szCs w:val="18"/>
                <w:u w:val="none"/>
              </w:rPr>
            </w:pPr>
          </w:p>
        </w:tc>
        <w:tc>
          <w:tcPr>
            <w:tcW w:w="52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A6FE36">
            <w:pPr>
              <w:jc w:val="left"/>
              <w:rPr>
                <w:rFonts w:hint="eastAsia" w:ascii="宋体" w:hAnsi="宋体" w:eastAsia="宋体" w:cs="宋体"/>
                <w:i w:val="0"/>
                <w:iCs w:val="0"/>
                <w:color w:val="000000"/>
                <w:sz w:val="18"/>
                <w:szCs w:val="18"/>
                <w:u w:val="none"/>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01B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尤溪三富/金鸡岭/盛隆/鑫达矿业</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15C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≤1年零1个月</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7FC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895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未完成原因：项目建设期限未到；其中，三明尤溪县三富和鑫达矿业2座尾矿库目前在有序推进中，预计2025年6月30日前能完成。其他2座尾矿库已完工验收，完成销号时间小于1年零1个月。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73B5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2D069A">
            <w:pPr>
              <w:jc w:val="center"/>
              <w:rPr>
                <w:rFonts w:hint="eastAsia" w:ascii="宋体" w:hAnsi="宋体" w:eastAsia="宋体" w:cs="宋体"/>
                <w:i w:val="0"/>
                <w:iCs w:val="0"/>
                <w:color w:val="000000"/>
                <w:sz w:val="18"/>
                <w:szCs w:val="18"/>
                <w:u w:val="none"/>
              </w:rPr>
            </w:pPr>
          </w:p>
        </w:tc>
        <w:tc>
          <w:tcPr>
            <w:tcW w:w="30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7E4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4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2CF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6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2368E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滩面植被率</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2CF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980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将于项目完成后统一考核</w:t>
            </w:r>
          </w:p>
        </w:tc>
        <w:tc>
          <w:tcPr>
            <w:tcW w:w="1611"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E80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未完成原因：项目建设期限未到，预计2025年6月底前可完成。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363A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1C17A">
            <w:pPr>
              <w:jc w:val="center"/>
              <w:rPr>
                <w:rFonts w:hint="eastAsia" w:ascii="宋体" w:hAnsi="宋体" w:eastAsia="宋体" w:cs="宋体"/>
                <w:i w:val="0"/>
                <w:iCs w:val="0"/>
                <w:color w:val="000000"/>
                <w:sz w:val="18"/>
                <w:szCs w:val="18"/>
                <w:u w:val="none"/>
              </w:rPr>
            </w:pPr>
          </w:p>
        </w:tc>
        <w:tc>
          <w:tcPr>
            <w:tcW w:w="30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7D841">
            <w:pPr>
              <w:jc w:val="center"/>
              <w:rPr>
                <w:rFonts w:hint="eastAsia" w:ascii="宋体" w:hAnsi="宋体" w:eastAsia="宋体" w:cs="宋体"/>
                <w:i w:val="0"/>
                <w:iCs w:val="0"/>
                <w:color w:val="000000"/>
                <w:sz w:val="18"/>
                <w:szCs w:val="18"/>
                <w:u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F4550F">
            <w:pPr>
              <w:jc w:val="center"/>
              <w:rPr>
                <w:rFonts w:hint="eastAsia" w:ascii="宋体" w:hAnsi="宋体" w:eastAsia="宋体" w:cs="宋体"/>
                <w:i w:val="0"/>
                <w:iCs w:val="0"/>
                <w:color w:val="000000"/>
                <w:sz w:val="18"/>
                <w:szCs w:val="18"/>
                <w:u w:val="none"/>
              </w:rPr>
            </w:pPr>
          </w:p>
        </w:tc>
        <w:tc>
          <w:tcPr>
            <w:tcW w:w="116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A4AA4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防渗效果</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02A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达标排放</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A2E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将于项目完成后统一考核</w:t>
            </w:r>
          </w:p>
        </w:tc>
        <w:tc>
          <w:tcPr>
            <w:tcW w:w="1611"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BD8CE">
            <w:pPr>
              <w:jc w:val="center"/>
              <w:rPr>
                <w:rFonts w:hint="eastAsia" w:ascii="宋体" w:hAnsi="宋体" w:eastAsia="宋体" w:cs="宋体"/>
                <w:i w:val="0"/>
                <w:iCs w:val="0"/>
                <w:color w:val="000000"/>
                <w:sz w:val="18"/>
                <w:szCs w:val="18"/>
                <w:u w:val="none"/>
              </w:rPr>
            </w:pPr>
          </w:p>
        </w:tc>
      </w:tr>
      <w:tr w14:paraId="4596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66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w:t>
            </w:r>
          </w:p>
        </w:tc>
        <w:tc>
          <w:tcPr>
            <w:tcW w:w="4701"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64503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bl>
    <w:p w14:paraId="731A9441">
      <w:pPr>
        <w:rPr>
          <w:rFonts w:hint="default"/>
          <w:lang w:val="en-US" w:eastAsia="zh-CN"/>
        </w:rPr>
      </w:pPr>
    </w:p>
    <w:p w14:paraId="3DD3E529">
      <w:pPr>
        <w:pStyle w:val="2"/>
        <w:rPr>
          <w:rFonts w:hint="default"/>
          <w:lang w:val="en-US" w:eastAsia="zh-CN"/>
        </w:rPr>
      </w:pPr>
    </w:p>
    <w:p w14:paraId="05651FAE">
      <w:pPr>
        <w:pStyle w:val="3"/>
        <w:spacing w:before="312" w:beforeLines="100" w:line="240" w:lineRule="auto"/>
        <w:rPr>
          <w:rFonts w:hint="eastAsia" w:ascii="黑体" w:eastAsia="黑体"/>
          <w:kern w:val="44"/>
          <w:sz w:val="32"/>
          <w:szCs w:val="32"/>
          <w:lang w:val="en-US" w:eastAsia="zh-CN"/>
        </w:rPr>
      </w:pPr>
      <w:r>
        <w:rPr>
          <w:rFonts w:hint="eastAsia" w:ascii="黑体" w:eastAsia="黑体"/>
          <w:kern w:val="44"/>
          <w:sz w:val="32"/>
          <w:szCs w:val="32"/>
          <w:lang w:val="en-US" w:eastAsia="zh-CN"/>
        </w:rPr>
        <w:t>附表3</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325"/>
        <w:gridCol w:w="330"/>
        <w:gridCol w:w="705"/>
        <w:gridCol w:w="139"/>
        <w:gridCol w:w="2016"/>
        <w:gridCol w:w="410"/>
        <w:gridCol w:w="165"/>
        <w:gridCol w:w="735"/>
        <w:gridCol w:w="259"/>
        <w:gridCol w:w="821"/>
        <w:gridCol w:w="360"/>
        <w:gridCol w:w="115"/>
        <w:gridCol w:w="801"/>
        <w:gridCol w:w="1872"/>
      </w:tblGrid>
      <w:tr w14:paraId="7E87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000" w:type="pct"/>
            <w:gridSpan w:val="15"/>
            <w:tcBorders>
              <w:top w:val="nil"/>
              <w:left w:val="nil"/>
              <w:bottom w:val="nil"/>
              <w:right w:val="nil"/>
            </w:tcBorders>
            <w:shd w:val="clear" w:color="auto" w:fill="auto"/>
            <w:vAlign w:val="center"/>
          </w:tcPr>
          <w:p w14:paraId="001822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中央安全生产预防和应急救援能力建设补助资金转移支付福建省（安全生产应急救援力量建设）绩效自评表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（2024年度）</w:t>
            </w:r>
          </w:p>
        </w:tc>
      </w:tr>
      <w:tr w14:paraId="1D61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3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转移支付（项目）名称</w:t>
            </w:r>
          </w:p>
        </w:tc>
        <w:tc>
          <w:tcPr>
            <w:tcW w:w="392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8F4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中央安全生产预防和应急救援能力建设补助资金（安全生产应急救援力量建设）</w:t>
            </w:r>
          </w:p>
        </w:tc>
      </w:tr>
      <w:tr w14:paraId="715D3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0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3922"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A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财政部、国家矿山安全监察局、应急管理部</w:t>
            </w:r>
          </w:p>
        </w:tc>
      </w:tr>
      <w:tr w14:paraId="794D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4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地方主管部门</w:t>
            </w:r>
          </w:p>
        </w:tc>
        <w:tc>
          <w:tcPr>
            <w:tcW w:w="18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7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福建省财政厅、福建省应急管理厅</w:t>
            </w:r>
          </w:p>
        </w:tc>
        <w:tc>
          <w:tcPr>
            <w:tcW w:w="6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F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资金使用单位</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0C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设区市或县（市、区）有关部门</w:t>
            </w:r>
          </w:p>
        </w:tc>
      </w:tr>
      <w:tr w14:paraId="593C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77"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F1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C8BA">
            <w:pPr>
              <w:rPr>
                <w:rFonts w:hint="eastAsia" w:ascii="宋体" w:hAnsi="宋体" w:eastAsia="宋体" w:cs="宋体"/>
                <w:i w:val="0"/>
                <w:iCs w:val="0"/>
                <w:color w:val="000000"/>
                <w:sz w:val="18"/>
                <w:szCs w:val="18"/>
                <w:u w:val="none"/>
              </w:rPr>
            </w:pPr>
          </w:p>
        </w:tc>
        <w:tc>
          <w:tcPr>
            <w:tcW w:w="8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4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0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2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5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（B/A</w:t>
            </w:r>
            <w:r>
              <w:rPr>
                <w:rFonts w:ascii="汉仪细圆B5" w:hAnsi="汉仪细圆B5" w:eastAsia="汉仪细圆B5" w:cs="汉仪细圆B5"/>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w:t>
            </w:r>
          </w:p>
        </w:tc>
      </w:tr>
      <w:tr w14:paraId="2A2A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7"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1B1E8">
            <w:pPr>
              <w:jc w:val="center"/>
              <w:rPr>
                <w:rFonts w:hint="eastAsia" w:ascii="宋体" w:hAnsi="宋体" w:eastAsia="宋体" w:cs="宋体"/>
                <w:i w:val="0"/>
                <w:iCs w:val="0"/>
                <w:color w:val="000000"/>
                <w:sz w:val="18"/>
                <w:szCs w:val="18"/>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2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D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w:t>
            </w:r>
          </w:p>
        </w:tc>
        <w:tc>
          <w:tcPr>
            <w:tcW w:w="10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4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893</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5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29.38%</w:t>
            </w:r>
          </w:p>
        </w:tc>
      </w:tr>
      <w:tr w14:paraId="2E9F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7"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EFA74">
            <w:pPr>
              <w:jc w:val="center"/>
              <w:rPr>
                <w:rFonts w:hint="eastAsia" w:ascii="宋体" w:hAnsi="宋体" w:eastAsia="宋体" w:cs="宋体"/>
                <w:i w:val="0"/>
                <w:iCs w:val="0"/>
                <w:color w:val="000000"/>
                <w:sz w:val="18"/>
                <w:szCs w:val="18"/>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7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其中：中央财政资金</w:t>
            </w:r>
          </w:p>
        </w:tc>
        <w:tc>
          <w:tcPr>
            <w:tcW w:w="8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5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w:t>
            </w:r>
          </w:p>
        </w:tc>
        <w:tc>
          <w:tcPr>
            <w:tcW w:w="10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7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893</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D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29.38%</w:t>
            </w:r>
          </w:p>
        </w:tc>
      </w:tr>
      <w:tr w14:paraId="4530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7"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8DF5A">
            <w:pPr>
              <w:jc w:val="center"/>
              <w:rPr>
                <w:rFonts w:hint="eastAsia" w:ascii="宋体" w:hAnsi="宋体" w:eastAsia="宋体" w:cs="宋体"/>
                <w:i w:val="0"/>
                <w:iCs w:val="0"/>
                <w:color w:val="000000"/>
                <w:sz w:val="18"/>
                <w:szCs w:val="18"/>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B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地方财政资金</w:t>
            </w:r>
          </w:p>
        </w:tc>
        <w:tc>
          <w:tcPr>
            <w:tcW w:w="8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F200">
            <w:pPr>
              <w:jc w:val="center"/>
              <w:rPr>
                <w:rFonts w:hint="eastAsia" w:ascii="宋体" w:hAnsi="宋体" w:eastAsia="宋体" w:cs="宋体"/>
                <w:i w:val="0"/>
                <w:iCs w:val="0"/>
                <w:color w:val="000000"/>
                <w:sz w:val="18"/>
                <w:szCs w:val="18"/>
                <w:u w:val="none"/>
              </w:rPr>
            </w:pPr>
          </w:p>
        </w:tc>
        <w:tc>
          <w:tcPr>
            <w:tcW w:w="10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E0F2">
            <w:pPr>
              <w:jc w:val="center"/>
              <w:rPr>
                <w:rFonts w:hint="eastAsia" w:ascii="宋体" w:hAnsi="宋体" w:eastAsia="宋体" w:cs="宋体"/>
                <w:i w:val="0"/>
                <w:iCs w:val="0"/>
                <w:color w:val="000000"/>
                <w:sz w:val="18"/>
                <w:szCs w:val="18"/>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1649">
            <w:pPr>
              <w:jc w:val="center"/>
              <w:rPr>
                <w:rFonts w:hint="eastAsia" w:ascii="宋体" w:hAnsi="宋体" w:eastAsia="宋体" w:cs="宋体"/>
                <w:i w:val="0"/>
                <w:iCs w:val="0"/>
                <w:color w:val="000000"/>
                <w:sz w:val="18"/>
                <w:szCs w:val="18"/>
                <w:u w:val="none"/>
              </w:rPr>
            </w:pPr>
          </w:p>
        </w:tc>
      </w:tr>
      <w:tr w14:paraId="6AA3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7"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67F99">
            <w:pPr>
              <w:jc w:val="center"/>
              <w:rPr>
                <w:rFonts w:hint="eastAsia" w:ascii="宋体" w:hAnsi="宋体" w:eastAsia="宋体" w:cs="宋体"/>
                <w:i w:val="0"/>
                <w:iCs w:val="0"/>
                <w:color w:val="000000"/>
                <w:sz w:val="18"/>
                <w:szCs w:val="18"/>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4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8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0DDC">
            <w:pPr>
              <w:jc w:val="center"/>
              <w:rPr>
                <w:rFonts w:hint="eastAsia" w:ascii="宋体" w:hAnsi="宋体" w:eastAsia="宋体" w:cs="宋体"/>
                <w:i w:val="0"/>
                <w:iCs w:val="0"/>
                <w:color w:val="000000"/>
                <w:sz w:val="18"/>
                <w:szCs w:val="18"/>
                <w:u w:val="none"/>
              </w:rPr>
            </w:pPr>
          </w:p>
        </w:tc>
        <w:tc>
          <w:tcPr>
            <w:tcW w:w="10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583F">
            <w:pPr>
              <w:jc w:val="center"/>
              <w:rPr>
                <w:rFonts w:hint="eastAsia" w:ascii="宋体" w:hAnsi="宋体" w:eastAsia="宋体" w:cs="宋体"/>
                <w:i w:val="0"/>
                <w:iCs w:val="0"/>
                <w:color w:val="000000"/>
                <w:sz w:val="18"/>
                <w:szCs w:val="18"/>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F906">
            <w:pPr>
              <w:jc w:val="center"/>
              <w:rPr>
                <w:rFonts w:hint="eastAsia" w:ascii="宋体" w:hAnsi="宋体" w:eastAsia="宋体" w:cs="宋体"/>
                <w:i w:val="0"/>
                <w:iCs w:val="0"/>
                <w:color w:val="000000"/>
                <w:sz w:val="18"/>
                <w:szCs w:val="18"/>
                <w:u w:val="none"/>
              </w:rPr>
            </w:pPr>
          </w:p>
        </w:tc>
      </w:tr>
      <w:tr w14:paraId="20BA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0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资金管理情况</w:t>
            </w:r>
          </w:p>
        </w:tc>
        <w:tc>
          <w:tcPr>
            <w:tcW w:w="6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0A31">
            <w:pPr>
              <w:rPr>
                <w:rFonts w:hint="eastAsia" w:ascii="宋体" w:hAnsi="宋体" w:eastAsia="宋体" w:cs="宋体"/>
                <w:i w:val="0"/>
                <w:iCs w:val="0"/>
                <w:color w:val="000000"/>
                <w:sz w:val="18"/>
                <w:szCs w:val="18"/>
                <w:u w:val="none"/>
              </w:rPr>
            </w:pPr>
          </w:p>
        </w:tc>
        <w:tc>
          <w:tcPr>
            <w:tcW w:w="247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5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情况说明</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8F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存在问题和改进措施</w:t>
            </w:r>
          </w:p>
        </w:tc>
      </w:tr>
      <w:tr w14:paraId="45E9B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4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EDB2">
            <w:pPr>
              <w:jc w:val="center"/>
              <w:rPr>
                <w:rFonts w:hint="eastAsia" w:ascii="宋体" w:hAnsi="宋体" w:eastAsia="宋体" w:cs="宋体"/>
                <w:i w:val="0"/>
                <w:iCs w:val="0"/>
                <w:color w:val="000000"/>
                <w:sz w:val="18"/>
                <w:szCs w:val="18"/>
                <w:u w:val="none"/>
              </w:rPr>
            </w:pPr>
          </w:p>
        </w:tc>
        <w:tc>
          <w:tcPr>
            <w:tcW w:w="6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2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分类科学性</w:t>
            </w:r>
          </w:p>
        </w:tc>
        <w:tc>
          <w:tcPr>
            <w:tcW w:w="247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FEA7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转移支付管理制度以及《安全生产预防和应急救援能力建设补助资金管理办法》《安全生产应急救援力量建设总体方案》《重点化工产业聚集区重大安全风险防控工作总体方案》《尾矿库风险隐患治理工作总体方案》《煤矿及重点非煤矿山重大灾害风险防控建设工作总体方案》等文件规定的资金使用范围和标准，同时综合项目实际，突出重点，按因素分配法和项目管理法相结合的分配方式合理分配项目资金。</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AE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2BF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4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FCAD">
            <w:pPr>
              <w:jc w:val="center"/>
              <w:rPr>
                <w:rFonts w:hint="eastAsia" w:ascii="宋体" w:hAnsi="宋体" w:eastAsia="宋体" w:cs="宋体"/>
                <w:i w:val="0"/>
                <w:iCs w:val="0"/>
                <w:color w:val="000000"/>
                <w:sz w:val="18"/>
                <w:szCs w:val="18"/>
                <w:u w:val="none"/>
              </w:rPr>
            </w:pPr>
          </w:p>
        </w:tc>
        <w:tc>
          <w:tcPr>
            <w:tcW w:w="6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7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下达及时性</w:t>
            </w:r>
          </w:p>
        </w:tc>
        <w:tc>
          <w:tcPr>
            <w:tcW w:w="247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10FE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预算法及其实施条例，转移支付管理制度等规定，以及《安全生产预防和应急救援能力建设补助资金管理办法》《中央转移支付资金下达通知》等文件规定的时限分解下达项目资金，收到中央转移支付后按相关文件规定及时下达资金。资金下达及时。</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CD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EBC0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309D">
            <w:pPr>
              <w:jc w:val="center"/>
              <w:rPr>
                <w:rFonts w:hint="eastAsia" w:ascii="宋体" w:hAnsi="宋体" w:eastAsia="宋体" w:cs="宋体"/>
                <w:i w:val="0"/>
                <w:iCs w:val="0"/>
                <w:color w:val="000000"/>
                <w:sz w:val="18"/>
                <w:szCs w:val="18"/>
                <w:u w:val="none"/>
              </w:rPr>
            </w:pPr>
          </w:p>
        </w:tc>
        <w:tc>
          <w:tcPr>
            <w:tcW w:w="6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C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拨付合规性</w:t>
            </w:r>
          </w:p>
        </w:tc>
        <w:tc>
          <w:tcPr>
            <w:tcW w:w="247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2CE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严格按照国库集中支付制度有关规定支付资金，资金执行过程中，未发现违规将资金从国库转入财政专户或支付到预算单位实有资金账户等问题。</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E0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13E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0684">
            <w:pPr>
              <w:jc w:val="center"/>
              <w:rPr>
                <w:rFonts w:hint="eastAsia" w:ascii="宋体" w:hAnsi="宋体" w:eastAsia="宋体" w:cs="宋体"/>
                <w:i w:val="0"/>
                <w:iCs w:val="0"/>
                <w:color w:val="000000"/>
                <w:sz w:val="18"/>
                <w:szCs w:val="18"/>
                <w:u w:val="none"/>
              </w:rPr>
            </w:pPr>
          </w:p>
        </w:tc>
        <w:tc>
          <w:tcPr>
            <w:tcW w:w="6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A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使用规范性</w:t>
            </w:r>
          </w:p>
        </w:tc>
        <w:tc>
          <w:tcPr>
            <w:tcW w:w="247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3B0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严格按照下达预算的科目和项目执行，严格执行有关资金管理规定，专款专用，未发现截留、挤占、挪用或擅自调整等问题，资金使用规范。</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BD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496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4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CA94">
            <w:pPr>
              <w:jc w:val="center"/>
              <w:rPr>
                <w:rFonts w:hint="eastAsia" w:ascii="宋体" w:hAnsi="宋体" w:eastAsia="宋体" w:cs="宋体"/>
                <w:i w:val="0"/>
                <w:iCs w:val="0"/>
                <w:color w:val="000000"/>
                <w:sz w:val="18"/>
                <w:szCs w:val="18"/>
                <w:u w:val="none"/>
              </w:rPr>
            </w:pPr>
          </w:p>
        </w:tc>
        <w:tc>
          <w:tcPr>
            <w:tcW w:w="6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8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执行准确性</w:t>
            </w:r>
          </w:p>
        </w:tc>
        <w:tc>
          <w:tcPr>
            <w:tcW w:w="247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296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按照上级下达和本级预算安排的金额执行，中央财政转移支付资金执行率为29.38%，整体预算执行准确性较高。</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B87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存在问题：因应急救援装备采购流程长、该项目资金需招标采购方案及招标结果审核通过后，按相关流程拨付，该项目预算执行率较低。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改进措施：协助相关市县对项目单位加快项目实施进度，加强过程管控与监督，提高资金拨付效率及使用率。</w:t>
            </w:r>
          </w:p>
        </w:tc>
      </w:tr>
      <w:tr w14:paraId="60E4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8AF6">
            <w:pPr>
              <w:jc w:val="center"/>
              <w:rPr>
                <w:rFonts w:hint="eastAsia" w:ascii="宋体" w:hAnsi="宋体" w:eastAsia="宋体" w:cs="宋体"/>
                <w:i w:val="0"/>
                <w:iCs w:val="0"/>
                <w:color w:val="000000"/>
                <w:sz w:val="18"/>
                <w:szCs w:val="18"/>
                <w:u w:val="none"/>
              </w:rPr>
            </w:pPr>
          </w:p>
        </w:tc>
        <w:tc>
          <w:tcPr>
            <w:tcW w:w="6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0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预算绩效管理情况</w:t>
            </w:r>
          </w:p>
        </w:tc>
        <w:tc>
          <w:tcPr>
            <w:tcW w:w="247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532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省财政厅、应急管理厅在细化下达预算时同步下达了绩效目标，将安全生产预防和应急救援能力建设补助资金纳入省级资金预算，组织开展了事中绩效监控和事后绩效评价</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E7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E65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ABC6">
            <w:pPr>
              <w:jc w:val="center"/>
              <w:rPr>
                <w:rFonts w:hint="eastAsia" w:ascii="宋体" w:hAnsi="宋体" w:eastAsia="宋体" w:cs="宋体"/>
                <w:i w:val="0"/>
                <w:iCs w:val="0"/>
                <w:color w:val="000000"/>
                <w:sz w:val="18"/>
                <w:szCs w:val="18"/>
                <w:u w:val="none"/>
              </w:rPr>
            </w:pPr>
          </w:p>
        </w:tc>
        <w:tc>
          <w:tcPr>
            <w:tcW w:w="6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8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支出责任履行情况</w:t>
            </w:r>
          </w:p>
        </w:tc>
        <w:tc>
          <w:tcPr>
            <w:tcW w:w="247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F14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省财政厅、应急管理厅收到中央转移支付资金后，按照财政事权和支出责任划分有关规定，按相关文件规定的时限足额下拨至设区市或县（市、区）级财政、应急管理部门。</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03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C91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11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总体目标完成情况</w:t>
            </w:r>
          </w:p>
        </w:tc>
        <w:tc>
          <w:tcPr>
            <w:tcW w:w="212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27F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w:t>
            </w:r>
          </w:p>
        </w:tc>
        <w:tc>
          <w:tcPr>
            <w:tcW w:w="257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6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A4F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29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F7F84A4">
            <w:pPr>
              <w:jc w:val="center"/>
              <w:rPr>
                <w:rFonts w:hint="eastAsia" w:ascii="宋体" w:hAnsi="宋体" w:eastAsia="宋体" w:cs="宋体"/>
                <w:i w:val="0"/>
                <w:iCs w:val="0"/>
                <w:color w:val="000000"/>
                <w:sz w:val="18"/>
                <w:szCs w:val="18"/>
                <w:u w:val="none"/>
              </w:rPr>
            </w:pPr>
          </w:p>
        </w:tc>
        <w:tc>
          <w:tcPr>
            <w:tcW w:w="2124" w:type="pct"/>
            <w:gridSpan w:val="7"/>
            <w:tcBorders>
              <w:top w:val="single" w:color="000000" w:sz="4" w:space="0"/>
              <w:left w:val="single" w:color="000000" w:sz="4" w:space="0"/>
              <w:bottom w:val="single" w:color="auto" w:sz="4" w:space="0"/>
              <w:right w:val="nil"/>
            </w:tcBorders>
            <w:shd w:val="clear" w:color="auto" w:fill="auto"/>
            <w:vAlign w:val="center"/>
          </w:tcPr>
          <w:p w14:paraId="148D2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一是完成项目下达装备的采购、项目验收，装备管理更加规范，队伍先进适用装备的应用水平显著提升，反应更加灵敏、处置更加有力，危化救援能力进一步提升，满足华东地区重特大事故灾害救援需要。二是通过定期开展力量集结、战斗编程、通信联络、组织指挥等应急救援业务训练和模拟实战演练，跨区域、多灾种联动联训，进一步提高队伍快速出动、现场实战能力、救援协同能力以及队伍长时间、远距离救援自我保障能力。 </w:t>
            </w:r>
          </w:p>
        </w:tc>
        <w:tc>
          <w:tcPr>
            <w:tcW w:w="2577" w:type="pct"/>
            <w:gridSpan w:val="7"/>
            <w:tcBorders>
              <w:top w:val="single" w:color="000000" w:sz="4" w:space="0"/>
              <w:left w:val="single" w:color="000000" w:sz="4" w:space="0"/>
              <w:bottom w:val="single" w:color="auto" w:sz="4" w:space="0"/>
              <w:right w:val="single" w:color="000000" w:sz="4" w:space="0"/>
            </w:tcBorders>
            <w:shd w:val="clear" w:color="auto" w:fill="auto"/>
            <w:vAlign w:val="center"/>
          </w:tcPr>
          <w:p w14:paraId="08C1B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截至2024年12月31日，装备采购工作整体处于前期准备阶段。其中，泉州石化队已完成合同签订，但由于装备尚未到位，整体采购工作的成效暂未显现。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支国家专业队均按计划定期开展了应急救援业务训练和模拟实战演练，内容涵盖力量集结、战斗编程、通信联络和组织指挥等关键环节，并积极参与跨区域、多灾种联动联训。应急演练实现了队伍全员100%参与，有效提升了队伍的快速出动能力、现场实战能力、救援协同能力，以及长时间、远距离救援的自我保障能力。在响应应急管理部指挥调动方面，队伍均能及时赶赴现场救援，训练与演练工作成效显著。</w:t>
            </w:r>
          </w:p>
        </w:tc>
      </w:tr>
      <w:tr w14:paraId="7996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570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34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B9E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47853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58C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264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A58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全年实际完成值</w:t>
            </w:r>
          </w:p>
        </w:tc>
        <w:tc>
          <w:tcPr>
            <w:tcW w:w="16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F4C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未完成原因和改进措施</w:t>
            </w:r>
          </w:p>
        </w:tc>
      </w:tr>
      <w:tr w14:paraId="1A82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C8DF9">
            <w:pPr>
              <w:jc w:val="center"/>
              <w:rPr>
                <w:rFonts w:hint="eastAsia" w:ascii="宋体" w:hAnsi="宋体" w:eastAsia="宋体" w:cs="宋体"/>
                <w:i w:val="0"/>
                <w:iCs w:val="0"/>
                <w:color w:val="000000"/>
                <w:sz w:val="18"/>
                <w:szCs w:val="18"/>
                <w:u w:val="none"/>
              </w:rPr>
            </w:pPr>
          </w:p>
        </w:tc>
        <w:tc>
          <w:tcPr>
            <w:tcW w:w="34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8AE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3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454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0A9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支持建设国家矿山应急救援队伍（支）</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0AF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6B4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08DD2C">
            <w:pPr>
              <w:jc w:val="center"/>
              <w:rPr>
                <w:rFonts w:hint="eastAsia" w:ascii="宋体" w:hAnsi="宋体" w:eastAsia="宋体" w:cs="宋体"/>
                <w:i w:val="0"/>
                <w:iCs w:val="0"/>
                <w:color w:val="000000"/>
                <w:sz w:val="18"/>
                <w:szCs w:val="18"/>
                <w:u w:val="none"/>
              </w:rPr>
            </w:pPr>
          </w:p>
        </w:tc>
      </w:tr>
      <w:tr w14:paraId="5D81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B00B5">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52459">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6A122">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25C6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支持建设国家危化应急救援队伍（支）</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A45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2CB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B3DDF7">
            <w:pPr>
              <w:jc w:val="center"/>
              <w:rPr>
                <w:rFonts w:hint="eastAsia" w:ascii="宋体" w:hAnsi="宋体" w:eastAsia="宋体" w:cs="宋体"/>
                <w:i w:val="0"/>
                <w:iCs w:val="0"/>
                <w:color w:val="000000"/>
                <w:sz w:val="18"/>
                <w:szCs w:val="18"/>
                <w:u w:val="none"/>
              </w:rPr>
            </w:pPr>
          </w:p>
        </w:tc>
      </w:tr>
      <w:tr w14:paraId="350C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BEFE0">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58FCA0">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72183">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983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为危化队配备装备（台/套）</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DA2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C7E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B449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按照国家相关文件要求，国家专业队装备采购需经过严格的招投标和审核流程。截至2024年12月31日，除泉州石化队已完成合同签订，装备尚未到位外，其他2个专业队处于装备采购方案制定及招标阶段，项目在有序推进中，预计2025年12月底前可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2E48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27F11F">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B6E67">
            <w:pPr>
              <w:jc w:val="center"/>
              <w:rPr>
                <w:rFonts w:hint="eastAsia" w:ascii="宋体" w:hAnsi="宋体" w:eastAsia="宋体" w:cs="宋体"/>
                <w:i w:val="0"/>
                <w:iCs w:val="0"/>
                <w:color w:val="000000"/>
                <w:sz w:val="18"/>
                <w:szCs w:val="18"/>
                <w:u w:val="none"/>
              </w:rPr>
            </w:pPr>
          </w:p>
        </w:tc>
        <w:tc>
          <w:tcPr>
            <w:tcW w:w="3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16C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2C1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验收通过率</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132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F1F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E028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未完成原因：项目建设期限未到，预计2025年12月底前能完成。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3504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2F841">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90FA9">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40242">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8965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各类车辆及大型装备按照国家安全生产应急救援队伍有关标志标识规范进行涂装 </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B1E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917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34" w:type="pct"/>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4F1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未完成原因：项目建设期限未到；截至2024年底，除泉州石化队已完成合同签订，装备尚未到位外，其他2个专业队处于装备采购方案制定、招标阶段，项目在有序推进中，预计2025年12月底前可完成。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3492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10F2F">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EA86E">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212D5">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EEA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各类车辆及大型装备安装数据采集终端，能够接入应急管理部大型救援装备指挥控制系统</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610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575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34"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BE303">
            <w:pPr>
              <w:jc w:val="center"/>
              <w:rPr>
                <w:rFonts w:hint="eastAsia" w:ascii="宋体" w:hAnsi="宋体" w:eastAsia="宋体" w:cs="宋体"/>
                <w:i w:val="0"/>
                <w:iCs w:val="0"/>
                <w:color w:val="000000"/>
                <w:sz w:val="18"/>
                <w:szCs w:val="18"/>
                <w:u w:val="none"/>
              </w:rPr>
            </w:pPr>
          </w:p>
        </w:tc>
      </w:tr>
      <w:tr w14:paraId="1B1F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8F6803">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4ECBE">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8DBD4A">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3295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队员装备操作培训通过率</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B5E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605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B69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未完成原因：项目建设期限未到，预计2025年12月底前能完成。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20D5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E9EB3">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1F757">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159E7">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F18C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事故灾害发生时，队伍响应应急管理部指挥调动，及时赶赴现场救援率</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1EF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B0F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7DC4FF4">
            <w:pPr>
              <w:rPr>
                <w:rFonts w:hint="eastAsia" w:ascii="宋体" w:hAnsi="宋体" w:eastAsia="宋体" w:cs="宋体"/>
                <w:i w:val="0"/>
                <w:iCs w:val="0"/>
                <w:color w:val="000000"/>
                <w:sz w:val="18"/>
                <w:szCs w:val="18"/>
                <w:u w:val="none"/>
              </w:rPr>
            </w:pPr>
          </w:p>
        </w:tc>
      </w:tr>
      <w:tr w14:paraId="24EF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F8648">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E88814">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CD637">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F7B2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队伍全员参与实训演练覆盖率</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F4C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全年达到100%</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2B8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F0CF55">
            <w:pPr>
              <w:rPr>
                <w:rFonts w:hint="eastAsia" w:ascii="宋体" w:hAnsi="宋体" w:eastAsia="宋体" w:cs="宋体"/>
                <w:i w:val="0"/>
                <w:iCs w:val="0"/>
                <w:color w:val="000000"/>
                <w:sz w:val="18"/>
                <w:szCs w:val="18"/>
                <w:u w:val="none"/>
              </w:rPr>
            </w:pPr>
          </w:p>
        </w:tc>
      </w:tr>
      <w:tr w14:paraId="632F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E00028">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99D1C">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0601F">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4EC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实训演练考核评估结果</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D2A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DD2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16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22B3FC">
            <w:pPr>
              <w:rPr>
                <w:rFonts w:hint="eastAsia" w:ascii="宋体" w:hAnsi="宋体" w:eastAsia="宋体" w:cs="宋体"/>
                <w:i w:val="0"/>
                <w:iCs w:val="0"/>
                <w:color w:val="000000"/>
                <w:sz w:val="18"/>
                <w:szCs w:val="18"/>
                <w:u w:val="none"/>
              </w:rPr>
            </w:pPr>
          </w:p>
        </w:tc>
      </w:tr>
      <w:tr w14:paraId="639A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5F3AC6">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441E6">
            <w:pPr>
              <w:jc w:val="center"/>
              <w:rPr>
                <w:rFonts w:hint="eastAsia" w:ascii="宋体" w:hAnsi="宋体" w:eastAsia="宋体" w:cs="宋体"/>
                <w:i w:val="0"/>
                <w:iCs w:val="0"/>
                <w:color w:val="000000"/>
                <w:sz w:val="18"/>
                <w:szCs w:val="18"/>
                <w:u w:val="none"/>
              </w:rPr>
            </w:pPr>
          </w:p>
        </w:tc>
        <w:tc>
          <w:tcPr>
            <w:tcW w:w="3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DCC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1A4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建设周期</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C21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≤18个月</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4A0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6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C3B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未完成原因：项目建设期限未到；按照国家相关文件要求，国家专业队装备采购需经过严格的招投标和审核流程。本项目装备采购预计2025年12月底前可完成。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27E4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D05A2">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D74C1">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4EADA">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E040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实训演练计划完成率</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5FB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F8C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4914F9">
            <w:pPr>
              <w:rPr>
                <w:rFonts w:hint="eastAsia" w:ascii="宋体" w:hAnsi="宋体" w:eastAsia="宋体" w:cs="宋体"/>
                <w:i w:val="0"/>
                <w:iCs w:val="0"/>
                <w:color w:val="000000"/>
                <w:sz w:val="18"/>
                <w:szCs w:val="18"/>
                <w:u w:val="none"/>
              </w:rPr>
            </w:pPr>
          </w:p>
        </w:tc>
      </w:tr>
      <w:tr w14:paraId="5771B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AE4877">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49FA15">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49A26">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02A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无补给状态下自我保障时间</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FF4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≥72小时</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F64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72小时</w:t>
            </w:r>
          </w:p>
        </w:tc>
        <w:tc>
          <w:tcPr>
            <w:tcW w:w="16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5421F2">
            <w:pPr>
              <w:rPr>
                <w:rFonts w:hint="eastAsia" w:ascii="宋体" w:hAnsi="宋体" w:eastAsia="宋体" w:cs="宋体"/>
                <w:i w:val="0"/>
                <w:iCs w:val="0"/>
                <w:color w:val="000000"/>
                <w:sz w:val="18"/>
                <w:szCs w:val="18"/>
                <w:u w:val="none"/>
              </w:rPr>
            </w:pPr>
          </w:p>
        </w:tc>
      </w:tr>
      <w:tr w14:paraId="1CDF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38154">
            <w:pPr>
              <w:jc w:val="center"/>
              <w:rPr>
                <w:rFonts w:hint="eastAsia" w:ascii="宋体" w:hAnsi="宋体" w:eastAsia="宋体" w:cs="宋体"/>
                <w:i w:val="0"/>
                <w:iCs w:val="0"/>
                <w:color w:val="000000"/>
                <w:sz w:val="18"/>
                <w:szCs w:val="18"/>
                <w:u w:val="none"/>
              </w:rPr>
            </w:pPr>
          </w:p>
        </w:tc>
        <w:tc>
          <w:tcPr>
            <w:tcW w:w="34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D56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3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B8E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E07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重点行业领域生产安全事故救援能力</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4D9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显著增强</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403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将于项目完成后统一考核</w:t>
            </w:r>
          </w:p>
        </w:tc>
        <w:tc>
          <w:tcPr>
            <w:tcW w:w="1634" w:type="pct"/>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238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未完成原因：项目建设期限未到，项目预计2025年12月底前能完成。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4218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BDF4ED">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C841DF">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6F9919">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408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在自然灾害抢险救援中发挥救援协同作用</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EEF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D24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将于项目完成后统一考核</w:t>
            </w:r>
          </w:p>
        </w:tc>
        <w:tc>
          <w:tcPr>
            <w:tcW w:w="1634"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21884">
            <w:pPr>
              <w:jc w:val="center"/>
              <w:rPr>
                <w:rFonts w:hint="eastAsia" w:ascii="宋体" w:hAnsi="宋体" w:eastAsia="宋体" w:cs="宋体"/>
                <w:i w:val="0"/>
                <w:iCs w:val="0"/>
                <w:color w:val="000000"/>
                <w:sz w:val="18"/>
                <w:szCs w:val="18"/>
                <w:u w:val="none"/>
              </w:rPr>
            </w:pPr>
          </w:p>
        </w:tc>
      </w:tr>
      <w:tr w14:paraId="4DBA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60C7F">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670BC0">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D10C9">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9E9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事故救援现场音视频、图像和数据实时传输能力</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506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194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将于项目完成后统一考核</w:t>
            </w:r>
          </w:p>
        </w:tc>
        <w:tc>
          <w:tcPr>
            <w:tcW w:w="1634"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31EA0">
            <w:pPr>
              <w:jc w:val="center"/>
              <w:rPr>
                <w:rFonts w:hint="eastAsia" w:ascii="宋体" w:hAnsi="宋体" w:eastAsia="宋体" w:cs="宋体"/>
                <w:i w:val="0"/>
                <w:iCs w:val="0"/>
                <w:color w:val="000000"/>
                <w:sz w:val="18"/>
                <w:szCs w:val="18"/>
                <w:u w:val="none"/>
              </w:rPr>
            </w:pPr>
          </w:p>
        </w:tc>
      </w:tr>
      <w:tr w14:paraId="1DF6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52410">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66DAE">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4DDB28">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2F6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化工装置火灾事故处置能力</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B2A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CC1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将于项目完成后统一考核</w:t>
            </w:r>
          </w:p>
        </w:tc>
        <w:tc>
          <w:tcPr>
            <w:tcW w:w="1634"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90FFE">
            <w:pPr>
              <w:jc w:val="center"/>
              <w:rPr>
                <w:rFonts w:hint="eastAsia" w:ascii="宋体" w:hAnsi="宋体" w:eastAsia="宋体" w:cs="宋体"/>
                <w:i w:val="0"/>
                <w:iCs w:val="0"/>
                <w:color w:val="000000"/>
                <w:sz w:val="18"/>
                <w:szCs w:val="18"/>
                <w:u w:val="none"/>
              </w:rPr>
            </w:pPr>
          </w:p>
        </w:tc>
      </w:tr>
      <w:tr w14:paraId="14C0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DF984">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6DE803">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A1D063">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D0C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开展预防性安全检查，助力依托企业(单位)防范化解安全风险，减少事故发生发挥作用</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8FF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7DE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将于项目完成后统一考核</w:t>
            </w:r>
          </w:p>
        </w:tc>
        <w:tc>
          <w:tcPr>
            <w:tcW w:w="1634"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802C0">
            <w:pPr>
              <w:jc w:val="center"/>
              <w:rPr>
                <w:rFonts w:hint="eastAsia" w:ascii="宋体" w:hAnsi="宋体" w:eastAsia="宋体" w:cs="宋体"/>
                <w:i w:val="0"/>
                <w:iCs w:val="0"/>
                <w:color w:val="000000"/>
                <w:sz w:val="18"/>
                <w:szCs w:val="18"/>
                <w:u w:val="none"/>
              </w:rPr>
            </w:pPr>
          </w:p>
        </w:tc>
      </w:tr>
      <w:tr w14:paraId="50F8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7BBCB">
            <w:pPr>
              <w:jc w:val="center"/>
              <w:rPr>
                <w:rFonts w:hint="eastAsia" w:ascii="宋体" w:hAnsi="宋体" w:eastAsia="宋体" w:cs="宋体"/>
                <w:i w:val="0"/>
                <w:iCs w:val="0"/>
                <w:color w:val="000000"/>
                <w:sz w:val="18"/>
                <w:szCs w:val="18"/>
                <w:u w:val="none"/>
              </w:rPr>
            </w:pPr>
          </w:p>
        </w:tc>
        <w:tc>
          <w:tcPr>
            <w:tcW w:w="34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ACF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0DF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BEBE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服务企业在事故灾害应急救援方面对队伍的满意度</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C95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206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将于项目完成后统一考核</w:t>
            </w:r>
          </w:p>
        </w:tc>
        <w:tc>
          <w:tcPr>
            <w:tcW w:w="16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695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未完成原因：项目建设期限未到，项目预计2025年12月底前能完成。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45C9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72E25">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15A3A">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359D50">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8DB4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地方政府对队伍事故处理能力的满意度</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A7B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45A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6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F62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危险化学品应急救援队、国家矿山应急救援队受地方政府的认可度高，2024年5月均收到福建省人民政府抗震救灾指挥部暨抗震减灾联席会议办公室的感谢信。国家矿山应急救援队同时还收到龙岩市人民政府、上杭县人民政府的感谢信。</w:t>
            </w:r>
          </w:p>
        </w:tc>
      </w:tr>
      <w:tr w14:paraId="5B04C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2677E">
            <w:pPr>
              <w:jc w:val="center"/>
              <w:rPr>
                <w:rFonts w:hint="eastAsia" w:ascii="宋体" w:hAnsi="宋体" w:eastAsia="宋体" w:cs="宋体"/>
                <w:i w:val="0"/>
                <w:iCs w:val="0"/>
                <w:color w:val="000000"/>
                <w:sz w:val="18"/>
                <w:szCs w:val="18"/>
                <w:u w:val="none"/>
              </w:rPr>
            </w:pPr>
          </w:p>
        </w:tc>
        <w:tc>
          <w:tcPr>
            <w:tcW w:w="34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9BF39">
            <w:pPr>
              <w:jc w:val="center"/>
              <w:rPr>
                <w:rFonts w:hint="eastAsia" w:ascii="宋体" w:hAnsi="宋体" w:eastAsia="宋体" w:cs="宋体"/>
                <w:i w:val="0"/>
                <w:iCs w:val="0"/>
                <w:color w:val="000000"/>
                <w:sz w:val="18"/>
                <w:szCs w:val="18"/>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A9B093">
            <w:pPr>
              <w:jc w:val="center"/>
              <w:rPr>
                <w:rFonts w:hint="eastAsia" w:ascii="宋体" w:hAnsi="宋体" w:eastAsia="宋体" w:cs="宋体"/>
                <w:i w:val="0"/>
                <w:iCs w:val="0"/>
                <w:color w:val="000000"/>
                <w:sz w:val="18"/>
                <w:szCs w:val="18"/>
                <w:u w:val="none"/>
              </w:rPr>
            </w:pPr>
          </w:p>
        </w:tc>
        <w:tc>
          <w:tcPr>
            <w:tcW w:w="13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41D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应急管理部对队伍的满意度</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C41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273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6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CF2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2024年5月，国家危险化学品应急救援队、国家矿山应急救援队均受到国家安全生产应急救援中心公开表扬</w:t>
            </w:r>
          </w:p>
        </w:tc>
      </w:tr>
      <w:tr w14:paraId="04491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AD3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w:t>
            </w:r>
          </w:p>
        </w:tc>
        <w:tc>
          <w:tcPr>
            <w:tcW w:w="4701" w:type="pct"/>
            <w:gridSpan w:val="14"/>
            <w:tcBorders>
              <w:top w:val="single" w:color="auto" w:sz="4" w:space="0"/>
              <w:left w:val="single" w:color="auto" w:sz="4" w:space="0"/>
              <w:bottom w:val="single" w:color="auto" w:sz="4" w:space="0"/>
              <w:right w:val="single" w:color="auto" w:sz="4" w:space="0"/>
            </w:tcBorders>
            <w:shd w:val="clear" w:color="auto" w:fill="auto"/>
            <w:vAlign w:val="center"/>
          </w:tcPr>
          <w:p w14:paraId="6E461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bl>
    <w:p w14:paraId="14B4B534">
      <w:pPr>
        <w:pStyle w:val="3"/>
        <w:spacing w:before="312" w:beforeLines="100" w:line="240" w:lineRule="auto"/>
        <w:rPr>
          <w:rFonts w:hint="eastAsia" w:ascii="黑体" w:eastAsia="黑体"/>
          <w:kern w:val="44"/>
          <w:sz w:val="32"/>
          <w:szCs w:val="32"/>
          <w:lang w:val="en-US" w:eastAsia="zh-CN"/>
        </w:rPr>
      </w:pPr>
    </w:p>
    <w:p w14:paraId="3867C8A4">
      <w:pPr>
        <w:rPr>
          <w:rFonts w:hint="eastAsia" w:ascii="黑体" w:eastAsia="黑体"/>
          <w:kern w:val="44"/>
          <w:sz w:val="32"/>
          <w:szCs w:val="32"/>
          <w:lang w:val="en-US" w:eastAsia="zh-CN"/>
        </w:rPr>
      </w:pPr>
    </w:p>
    <w:p w14:paraId="215FD492">
      <w:pPr>
        <w:pStyle w:val="2"/>
        <w:rPr>
          <w:rFonts w:hint="eastAsia" w:ascii="黑体" w:eastAsia="黑体"/>
          <w:kern w:val="44"/>
          <w:sz w:val="32"/>
          <w:szCs w:val="32"/>
          <w:lang w:val="en-US" w:eastAsia="zh-CN"/>
        </w:rPr>
      </w:pPr>
    </w:p>
    <w:p w14:paraId="67530EB0">
      <w:pPr>
        <w:pStyle w:val="3"/>
        <w:spacing w:before="312" w:beforeLines="100" w:line="240" w:lineRule="auto"/>
        <w:rPr>
          <w:rFonts w:hint="eastAsia" w:ascii="黑体" w:eastAsia="黑体"/>
          <w:kern w:val="44"/>
          <w:sz w:val="32"/>
          <w:szCs w:val="32"/>
          <w:lang w:val="en-US" w:eastAsia="zh-CN"/>
        </w:rPr>
      </w:pPr>
      <w:r>
        <w:rPr>
          <w:rFonts w:hint="eastAsia" w:ascii="黑体" w:eastAsia="黑体"/>
          <w:kern w:val="44"/>
          <w:sz w:val="32"/>
          <w:szCs w:val="32"/>
          <w:lang w:val="en-US" w:eastAsia="zh-CN"/>
        </w:rPr>
        <w:t>附表4</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675"/>
        <w:gridCol w:w="735"/>
        <w:gridCol w:w="72"/>
        <w:gridCol w:w="2016"/>
        <w:gridCol w:w="245"/>
        <w:gridCol w:w="867"/>
        <w:gridCol w:w="466"/>
        <w:gridCol w:w="526"/>
        <w:gridCol w:w="770"/>
        <w:gridCol w:w="479"/>
        <w:gridCol w:w="2201"/>
      </w:tblGrid>
      <w:tr w14:paraId="5A09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000" w:type="pct"/>
            <w:gridSpan w:val="12"/>
            <w:tcBorders>
              <w:top w:val="nil"/>
              <w:left w:val="nil"/>
              <w:bottom w:val="nil"/>
              <w:right w:val="nil"/>
            </w:tcBorders>
            <w:shd w:val="clear" w:color="auto" w:fill="auto"/>
            <w:vAlign w:val="center"/>
          </w:tcPr>
          <w:p w14:paraId="406B8F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中央安全生产预防和应急救援能力建设补助资金转移支付福建省（危险化学品重大安全风险防控支出）绩效自评表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（2024年度）</w:t>
            </w:r>
          </w:p>
        </w:tc>
      </w:tr>
      <w:tr w14:paraId="4365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A5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转移支付（项目）名称</w:t>
            </w:r>
          </w:p>
        </w:tc>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751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中央安全生产预防和应急救援能力建设补助资金（危险化学品重大安全风险防控支出）</w:t>
            </w:r>
          </w:p>
        </w:tc>
      </w:tr>
      <w:tr w14:paraId="2128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0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4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财政部、国家矿山安全监察局、应急管理部</w:t>
            </w:r>
          </w:p>
        </w:tc>
      </w:tr>
      <w:tr w14:paraId="28D6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8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地方主管部门</w:t>
            </w:r>
          </w:p>
        </w:tc>
        <w:tc>
          <w:tcPr>
            <w:tcW w:w="1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C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福建省财政厅、福建省应急管理厅</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3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资金使用单位</w:t>
            </w:r>
          </w:p>
        </w:tc>
        <w:tc>
          <w:tcPr>
            <w:tcW w:w="1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66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设区市或县（市、区）有关部门</w:t>
            </w:r>
          </w:p>
        </w:tc>
      </w:tr>
      <w:tr w14:paraId="6748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70"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4A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32DB">
            <w:pPr>
              <w:rPr>
                <w:rFonts w:hint="eastAsia" w:ascii="宋体" w:hAnsi="宋体" w:eastAsia="宋体" w:cs="宋体"/>
                <w:i w:val="0"/>
                <w:iCs w:val="0"/>
                <w:color w:val="000000"/>
                <w:sz w:val="18"/>
                <w:szCs w:val="18"/>
                <w:u w:val="none"/>
              </w:rPr>
            </w:pPr>
          </w:p>
        </w:tc>
        <w:tc>
          <w:tcPr>
            <w:tcW w:w="8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D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2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D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（B/A</w:t>
            </w:r>
            <w:r>
              <w:rPr>
                <w:rFonts w:ascii="汉仪细圆B5" w:hAnsi="汉仪细圆B5" w:eastAsia="汉仪细圆B5" w:cs="汉仪细圆B5"/>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w:t>
            </w:r>
          </w:p>
        </w:tc>
      </w:tr>
      <w:tr w14:paraId="21B6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2D9D6">
            <w:pPr>
              <w:jc w:val="center"/>
              <w:rPr>
                <w:rFonts w:hint="eastAsia" w:ascii="宋体" w:hAnsi="宋体" w:eastAsia="宋体" w:cs="宋体"/>
                <w:i w:val="0"/>
                <w:iCs w:val="0"/>
                <w:color w:val="000000"/>
                <w:sz w:val="18"/>
                <w:szCs w:val="18"/>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2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6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2188</w:t>
            </w: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A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2188</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2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4F5D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70B48">
            <w:pPr>
              <w:jc w:val="center"/>
              <w:rPr>
                <w:rFonts w:hint="eastAsia" w:ascii="宋体" w:hAnsi="宋体" w:eastAsia="宋体" w:cs="宋体"/>
                <w:i w:val="0"/>
                <w:iCs w:val="0"/>
                <w:color w:val="000000"/>
                <w:sz w:val="18"/>
                <w:szCs w:val="18"/>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C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其中：中央财政资金</w:t>
            </w:r>
          </w:p>
        </w:tc>
        <w:tc>
          <w:tcPr>
            <w:tcW w:w="8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A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w:t>
            </w: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7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9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1297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BAA94">
            <w:pPr>
              <w:jc w:val="center"/>
              <w:rPr>
                <w:rFonts w:hint="eastAsia" w:ascii="宋体" w:hAnsi="宋体" w:eastAsia="宋体" w:cs="宋体"/>
                <w:i w:val="0"/>
                <w:iCs w:val="0"/>
                <w:color w:val="000000"/>
                <w:sz w:val="18"/>
                <w:szCs w:val="18"/>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0C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地方财政资金</w:t>
            </w:r>
          </w:p>
        </w:tc>
        <w:tc>
          <w:tcPr>
            <w:tcW w:w="8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6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w:t>
            </w: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A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5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16F3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02ED1">
            <w:pPr>
              <w:jc w:val="center"/>
              <w:rPr>
                <w:rFonts w:hint="eastAsia" w:ascii="宋体" w:hAnsi="宋体" w:eastAsia="宋体" w:cs="宋体"/>
                <w:i w:val="0"/>
                <w:iCs w:val="0"/>
                <w:color w:val="000000"/>
                <w:sz w:val="18"/>
                <w:szCs w:val="18"/>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BB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8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C8A3">
            <w:pPr>
              <w:jc w:val="center"/>
              <w:rPr>
                <w:rFonts w:hint="eastAsia" w:ascii="宋体" w:hAnsi="宋体" w:eastAsia="宋体" w:cs="宋体"/>
                <w:i w:val="0"/>
                <w:iCs w:val="0"/>
                <w:color w:val="000000"/>
                <w:sz w:val="18"/>
                <w:szCs w:val="18"/>
                <w:u w:val="none"/>
              </w:rPr>
            </w:pP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6F7A">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DB97">
            <w:pPr>
              <w:jc w:val="center"/>
              <w:rPr>
                <w:rFonts w:hint="eastAsia" w:ascii="宋体" w:hAnsi="宋体" w:eastAsia="宋体" w:cs="宋体"/>
                <w:i w:val="0"/>
                <w:iCs w:val="0"/>
                <w:color w:val="000000"/>
                <w:sz w:val="18"/>
                <w:szCs w:val="18"/>
                <w:u w:val="none"/>
              </w:rPr>
            </w:pPr>
          </w:p>
        </w:tc>
      </w:tr>
      <w:tr w14:paraId="3CE8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0"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B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资金管理情况</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611C">
            <w:pPr>
              <w:rPr>
                <w:rFonts w:hint="eastAsia" w:ascii="宋体" w:hAnsi="宋体" w:eastAsia="宋体" w:cs="宋体"/>
                <w:i w:val="0"/>
                <w:iCs w:val="0"/>
                <w:color w:val="000000"/>
                <w:sz w:val="18"/>
                <w:szCs w:val="18"/>
                <w:u w:val="none"/>
              </w:rPr>
            </w:pPr>
          </w:p>
        </w:tc>
        <w:tc>
          <w:tcPr>
            <w:tcW w:w="174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7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情况说明</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9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存在问题和改进措施</w:t>
            </w:r>
          </w:p>
        </w:tc>
      </w:tr>
      <w:tr w14:paraId="5112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107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9772">
            <w:pPr>
              <w:jc w:val="center"/>
              <w:rPr>
                <w:rFonts w:hint="eastAsia" w:ascii="宋体" w:hAnsi="宋体" w:eastAsia="宋体" w:cs="宋体"/>
                <w:i w:val="0"/>
                <w:iCs w:val="0"/>
                <w:color w:val="000000"/>
                <w:sz w:val="18"/>
                <w:szCs w:val="18"/>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B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分类科学性</w:t>
            </w:r>
          </w:p>
        </w:tc>
        <w:tc>
          <w:tcPr>
            <w:tcW w:w="17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093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转移支付管理制度以及《安全生产预防和应急救援能力建设补助资金管理办法》《安全生产应急救援力量建设总体方案》《重点化工产业聚集区重大安全风险防控工作总体方案》《尾矿库风险隐患治理工作总体方案》《煤矿及重点非煤矿山重大灾害风险防控建设工作总体方案》等文件规定的资金使用范围和标准，同时综合项目实际，突出重点，按因素分配法和项目管理法相结合的分配方式合理分配项目资金。</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1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F28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07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D1C6">
            <w:pPr>
              <w:jc w:val="center"/>
              <w:rPr>
                <w:rFonts w:hint="eastAsia" w:ascii="宋体" w:hAnsi="宋体" w:eastAsia="宋体" w:cs="宋体"/>
                <w:i w:val="0"/>
                <w:iCs w:val="0"/>
                <w:color w:val="000000"/>
                <w:sz w:val="18"/>
                <w:szCs w:val="18"/>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7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下达及时性</w:t>
            </w:r>
          </w:p>
        </w:tc>
        <w:tc>
          <w:tcPr>
            <w:tcW w:w="17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CF6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预算法及其实施条例，转移支付管理制度等规定，以及《安全生产预防和应急救援能力建设补助资金管理办法》《中央转移支付资金下达通知》等文件规定的时限分解下达项目资金，收到中央转移支付后按相关文件规定及时下达资金。资金下达及时。</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9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BCC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7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F203">
            <w:pPr>
              <w:jc w:val="center"/>
              <w:rPr>
                <w:rFonts w:hint="eastAsia" w:ascii="宋体" w:hAnsi="宋体" w:eastAsia="宋体" w:cs="宋体"/>
                <w:i w:val="0"/>
                <w:iCs w:val="0"/>
                <w:color w:val="000000"/>
                <w:sz w:val="18"/>
                <w:szCs w:val="18"/>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F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拨付合规性</w:t>
            </w:r>
          </w:p>
        </w:tc>
        <w:tc>
          <w:tcPr>
            <w:tcW w:w="17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0C90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严格按照国库集中支付制度有关规定支付资金，资金执行过程中，未发现违规将资金从国库转入财政专户或支付到预算单位实有资金账户等问题。</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9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7D06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7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FC4F">
            <w:pPr>
              <w:jc w:val="center"/>
              <w:rPr>
                <w:rFonts w:hint="eastAsia" w:ascii="宋体" w:hAnsi="宋体" w:eastAsia="宋体" w:cs="宋体"/>
                <w:i w:val="0"/>
                <w:iCs w:val="0"/>
                <w:color w:val="000000"/>
                <w:sz w:val="18"/>
                <w:szCs w:val="18"/>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0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使用规范性</w:t>
            </w:r>
          </w:p>
        </w:tc>
        <w:tc>
          <w:tcPr>
            <w:tcW w:w="17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D8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严格按照下达预算的科目和项目执行，严格执行有关资金管理规定，专款专用，未发现截留、挤占、挪用或擅自调整等问题，资金使用规范。</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5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BDE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07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C39E">
            <w:pPr>
              <w:jc w:val="center"/>
              <w:rPr>
                <w:rFonts w:hint="eastAsia" w:ascii="宋体" w:hAnsi="宋体" w:eastAsia="宋体" w:cs="宋体"/>
                <w:i w:val="0"/>
                <w:iCs w:val="0"/>
                <w:color w:val="000000"/>
                <w:sz w:val="18"/>
                <w:szCs w:val="18"/>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03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执行准确性</w:t>
            </w:r>
          </w:p>
        </w:tc>
        <w:tc>
          <w:tcPr>
            <w:tcW w:w="17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05A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按照上级下达和本级预算安排的金额执行，其中，中央财政转移支付资金执行率为100%，地方财政配套资金执行率为100%。整体预算执行准确性高。</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5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616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07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A906">
            <w:pPr>
              <w:jc w:val="center"/>
              <w:rPr>
                <w:rFonts w:hint="eastAsia" w:ascii="宋体" w:hAnsi="宋体" w:eastAsia="宋体" w:cs="宋体"/>
                <w:i w:val="0"/>
                <w:iCs w:val="0"/>
                <w:color w:val="000000"/>
                <w:sz w:val="18"/>
                <w:szCs w:val="18"/>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D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预算绩效管理情况</w:t>
            </w:r>
          </w:p>
        </w:tc>
        <w:tc>
          <w:tcPr>
            <w:tcW w:w="17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858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省财政厅、应急管理厅在细化下达预算时同步下达了绩效目标，将安全生产预防和应急救援能力建设补助资金纳入省级资金预算，组织开展了事中绩效监控和事后绩效评价</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7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0DF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7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C9FD">
            <w:pPr>
              <w:jc w:val="center"/>
              <w:rPr>
                <w:rFonts w:hint="eastAsia" w:ascii="宋体" w:hAnsi="宋体" w:eastAsia="宋体" w:cs="宋体"/>
                <w:i w:val="0"/>
                <w:iCs w:val="0"/>
                <w:color w:val="000000"/>
                <w:sz w:val="18"/>
                <w:szCs w:val="18"/>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1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支出责任履行情况</w:t>
            </w:r>
          </w:p>
        </w:tc>
        <w:tc>
          <w:tcPr>
            <w:tcW w:w="17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452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省财政厅、应急管理厅收到中央转移支付资金后，按照财政事权和支出责任划分有关规定，按相关文件规定的时限足额下拨至设区市或县（市、区）级财政、应急管理部门。</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A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154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F9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总体目标完成情况</w:t>
            </w:r>
          </w:p>
        </w:tc>
        <w:tc>
          <w:tcPr>
            <w:tcW w:w="263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F4C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w:t>
            </w:r>
          </w:p>
        </w:tc>
        <w:tc>
          <w:tcPr>
            <w:tcW w:w="20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2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6142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781E7">
            <w:pPr>
              <w:jc w:val="center"/>
              <w:rPr>
                <w:rFonts w:hint="eastAsia" w:ascii="宋体" w:hAnsi="宋体" w:eastAsia="宋体" w:cs="宋体"/>
                <w:i w:val="0"/>
                <w:iCs w:val="0"/>
                <w:color w:val="000000"/>
                <w:sz w:val="18"/>
                <w:szCs w:val="18"/>
                <w:u w:val="none"/>
              </w:rPr>
            </w:pPr>
          </w:p>
        </w:tc>
        <w:tc>
          <w:tcPr>
            <w:tcW w:w="2636" w:type="pct"/>
            <w:gridSpan w:val="7"/>
            <w:tcBorders>
              <w:top w:val="single" w:color="000000" w:sz="4" w:space="0"/>
              <w:left w:val="single" w:color="000000" w:sz="4" w:space="0"/>
              <w:bottom w:val="single" w:color="auto" w:sz="4" w:space="0"/>
              <w:right w:val="nil"/>
            </w:tcBorders>
            <w:shd w:val="clear" w:color="auto" w:fill="auto"/>
            <w:vAlign w:val="center"/>
          </w:tcPr>
          <w:p w14:paraId="3DD70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统筹推动本聚集区(化工园区)内化工企业按照要求建立安全风险智能化管控平台的基础上，通过实施化工产业聚集区重大风险防控项目，建立并有效应用本聚集区(化工园区)危化品安全风险智能化管控平台，配置完善本聚集区(化工园区)公共区域易燃易爆有毒有害气体泄漏监测管控设备，探索建立危险化学品安全预防控制体系，提升危险化学品重大安全风险管控能力。</w:t>
            </w:r>
          </w:p>
        </w:tc>
        <w:tc>
          <w:tcPr>
            <w:tcW w:w="2064" w:type="pct"/>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043D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截至2024年12月31日，我省的危险化学品重大安全风险防控项目已建成1个聚集区安全风险智能化管控平台以及6个聚集区安全风险智能化管控平台功能模块。同时，70%的聚集区内危险化学品企业已完成安全风险智能化管控平台的建设，50%的聚集区内化工企业已将平台数据接入到聚集区安全风险智能化管控平台。目前项目在按计划有序推进，项目成效尚未充分显现。</w:t>
            </w:r>
          </w:p>
        </w:tc>
      </w:tr>
      <w:tr w14:paraId="671C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99" w:type="pct"/>
            <w:vMerge w:val="restart"/>
            <w:tcBorders>
              <w:top w:val="single" w:color="000000" w:sz="4" w:space="0"/>
              <w:left w:val="single" w:color="000000" w:sz="4" w:space="0"/>
              <w:bottom w:val="nil"/>
              <w:right w:val="single" w:color="auto" w:sz="4" w:space="0"/>
            </w:tcBorders>
            <w:shd w:val="clear" w:color="auto" w:fill="auto"/>
            <w:vAlign w:val="center"/>
          </w:tcPr>
          <w:p w14:paraId="30C10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7DA05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3E238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1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FF8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64B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81E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全年实际完成值</w:t>
            </w:r>
          </w:p>
        </w:tc>
        <w:tc>
          <w:tcPr>
            <w:tcW w:w="17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D14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未完成原因和改进措施</w:t>
            </w:r>
          </w:p>
        </w:tc>
      </w:tr>
      <w:tr w14:paraId="2113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99" w:type="pct"/>
            <w:vMerge w:val="continue"/>
            <w:tcBorders>
              <w:top w:val="single" w:color="000000" w:sz="4" w:space="0"/>
              <w:left w:val="single" w:color="000000" w:sz="4" w:space="0"/>
              <w:bottom w:val="nil"/>
              <w:right w:val="single" w:color="auto" w:sz="4" w:space="0"/>
            </w:tcBorders>
            <w:shd w:val="clear" w:color="auto" w:fill="auto"/>
            <w:vAlign w:val="center"/>
          </w:tcPr>
          <w:p w14:paraId="3A4E769A">
            <w:pPr>
              <w:jc w:val="center"/>
              <w:rPr>
                <w:rFonts w:hint="eastAsia" w:ascii="宋体" w:hAnsi="宋体" w:eastAsia="宋体" w:cs="宋体"/>
                <w:i w:val="0"/>
                <w:iCs w:val="0"/>
                <w:color w:val="000000"/>
                <w:sz w:val="18"/>
                <w:szCs w:val="18"/>
                <w:u w:val="none"/>
              </w:rPr>
            </w:pPr>
          </w:p>
        </w:tc>
        <w:tc>
          <w:tcPr>
            <w:tcW w:w="3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AB2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3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CA2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409D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建设聚集区安全风险智能化管控平台（个）</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79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3AE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0A407C">
            <w:pPr>
              <w:jc w:val="center"/>
              <w:rPr>
                <w:rFonts w:hint="eastAsia" w:ascii="宋体" w:hAnsi="宋体" w:eastAsia="宋体" w:cs="宋体"/>
                <w:i w:val="0"/>
                <w:iCs w:val="0"/>
                <w:color w:val="000000"/>
                <w:sz w:val="18"/>
                <w:szCs w:val="18"/>
                <w:u w:val="none"/>
              </w:rPr>
            </w:pPr>
          </w:p>
        </w:tc>
      </w:tr>
      <w:tr w14:paraId="4FD1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99" w:type="pct"/>
            <w:vMerge w:val="continue"/>
            <w:tcBorders>
              <w:top w:val="single" w:color="000000" w:sz="4" w:space="0"/>
              <w:left w:val="single" w:color="000000" w:sz="4" w:space="0"/>
              <w:bottom w:val="nil"/>
              <w:right w:val="single" w:color="auto" w:sz="4" w:space="0"/>
            </w:tcBorders>
            <w:shd w:val="clear" w:color="auto" w:fill="auto"/>
            <w:vAlign w:val="center"/>
          </w:tcPr>
          <w:p w14:paraId="54EC38DD">
            <w:pPr>
              <w:jc w:val="center"/>
              <w:rPr>
                <w:rFonts w:hint="eastAsia" w:ascii="宋体" w:hAnsi="宋体" w:eastAsia="宋体" w:cs="宋体"/>
                <w:i w:val="0"/>
                <w:iCs w:val="0"/>
                <w:color w:val="000000"/>
                <w:sz w:val="18"/>
                <w:szCs w:val="18"/>
                <w:u w:val="none"/>
              </w:rPr>
            </w:pPr>
          </w:p>
        </w:tc>
        <w:tc>
          <w:tcPr>
            <w:tcW w:w="3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EC1FD">
            <w:pPr>
              <w:jc w:val="center"/>
              <w:rPr>
                <w:rFonts w:hint="eastAsia" w:ascii="宋体" w:hAnsi="宋体" w:eastAsia="宋体" w:cs="宋体"/>
                <w:i w:val="0"/>
                <w:iCs w:val="0"/>
                <w:color w:val="000000"/>
                <w:sz w:val="18"/>
                <w:szCs w:val="18"/>
                <w:u w:val="none"/>
              </w:rPr>
            </w:pPr>
          </w:p>
        </w:tc>
        <w:tc>
          <w:tcPr>
            <w:tcW w:w="3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93600">
            <w:pPr>
              <w:jc w:val="center"/>
              <w:rPr>
                <w:rFonts w:hint="eastAsia" w:ascii="宋体" w:hAnsi="宋体" w:eastAsia="宋体" w:cs="宋体"/>
                <w:i w:val="0"/>
                <w:iCs w:val="0"/>
                <w:color w:val="000000"/>
                <w:sz w:val="18"/>
                <w:szCs w:val="18"/>
                <w:u w:val="none"/>
              </w:rPr>
            </w:pPr>
          </w:p>
        </w:tc>
        <w:tc>
          <w:tcPr>
            <w:tcW w:w="12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3A8F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聚集区安全风险智能化管控平台功能模块（个）</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33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F46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59CBDA">
            <w:pPr>
              <w:jc w:val="center"/>
              <w:rPr>
                <w:rFonts w:hint="eastAsia" w:ascii="宋体" w:hAnsi="宋体" w:eastAsia="宋体" w:cs="宋体"/>
                <w:i w:val="0"/>
                <w:iCs w:val="0"/>
                <w:color w:val="000000"/>
                <w:sz w:val="18"/>
                <w:szCs w:val="18"/>
                <w:u w:val="none"/>
              </w:rPr>
            </w:pPr>
          </w:p>
        </w:tc>
      </w:tr>
      <w:tr w14:paraId="0B54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99" w:type="pct"/>
            <w:vMerge w:val="continue"/>
            <w:tcBorders>
              <w:top w:val="single" w:color="000000" w:sz="4" w:space="0"/>
              <w:left w:val="single" w:color="000000" w:sz="4" w:space="0"/>
              <w:bottom w:val="nil"/>
              <w:right w:val="single" w:color="auto" w:sz="4" w:space="0"/>
            </w:tcBorders>
            <w:shd w:val="clear" w:color="auto" w:fill="auto"/>
            <w:vAlign w:val="center"/>
          </w:tcPr>
          <w:p w14:paraId="1A34ACD5">
            <w:pPr>
              <w:jc w:val="center"/>
              <w:rPr>
                <w:rFonts w:hint="eastAsia" w:ascii="宋体" w:hAnsi="宋体" w:eastAsia="宋体" w:cs="宋体"/>
                <w:i w:val="0"/>
                <w:iCs w:val="0"/>
                <w:color w:val="000000"/>
                <w:sz w:val="18"/>
                <w:szCs w:val="18"/>
                <w:u w:val="none"/>
              </w:rPr>
            </w:pPr>
          </w:p>
        </w:tc>
        <w:tc>
          <w:tcPr>
            <w:tcW w:w="3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4FF4B">
            <w:pPr>
              <w:jc w:val="center"/>
              <w:rPr>
                <w:rFonts w:hint="eastAsia" w:ascii="宋体" w:hAnsi="宋体" w:eastAsia="宋体" w:cs="宋体"/>
                <w:i w:val="0"/>
                <w:iCs w:val="0"/>
                <w:color w:val="000000"/>
                <w:sz w:val="18"/>
                <w:szCs w:val="18"/>
                <w:u w:val="none"/>
              </w:rPr>
            </w:pPr>
          </w:p>
        </w:tc>
        <w:tc>
          <w:tcPr>
            <w:tcW w:w="3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58F199">
            <w:pPr>
              <w:jc w:val="center"/>
              <w:rPr>
                <w:rFonts w:hint="eastAsia" w:ascii="宋体" w:hAnsi="宋体" w:eastAsia="宋体" w:cs="宋体"/>
                <w:i w:val="0"/>
                <w:iCs w:val="0"/>
                <w:color w:val="000000"/>
                <w:sz w:val="18"/>
                <w:szCs w:val="18"/>
                <w:u w:val="none"/>
              </w:rPr>
            </w:pPr>
          </w:p>
        </w:tc>
        <w:tc>
          <w:tcPr>
            <w:tcW w:w="12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C98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聚集区内危险化学品企业安全风险智能化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管控平台建设率</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D36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9B4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7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7C1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未完成原因：项目建设期限未到，正在接入企业数据并完善聚集区内危险化学品企业安全风险智能化管控平台数据，预计2025年6月底前可完成。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34B3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299" w:type="pct"/>
            <w:vMerge w:val="continue"/>
            <w:tcBorders>
              <w:top w:val="single" w:color="000000" w:sz="4" w:space="0"/>
              <w:left w:val="single" w:color="000000" w:sz="4" w:space="0"/>
              <w:bottom w:val="nil"/>
              <w:right w:val="single" w:color="auto" w:sz="4" w:space="0"/>
            </w:tcBorders>
            <w:shd w:val="clear" w:color="auto" w:fill="auto"/>
            <w:vAlign w:val="center"/>
          </w:tcPr>
          <w:p w14:paraId="4C8C96B7">
            <w:pPr>
              <w:jc w:val="center"/>
              <w:rPr>
                <w:rFonts w:hint="eastAsia" w:ascii="宋体" w:hAnsi="宋体" w:eastAsia="宋体" w:cs="宋体"/>
                <w:i w:val="0"/>
                <w:iCs w:val="0"/>
                <w:color w:val="000000"/>
                <w:sz w:val="18"/>
                <w:szCs w:val="18"/>
                <w:u w:val="none"/>
              </w:rPr>
            </w:pPr>
          </w:p>
        </w:tc>
        <w:tc>
          <w:tcPr>
            <w:tcW w:w="3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325CE">
            <w:pPr>
              <w:jc w:val="center"/>
              <w:rPr>
                <w:rFonts w:hint="eastAsia" w:ascii="宋体" w:hAnsi="宋体" w:eastAsia="宋体" w:cs="宋体"/>
                <w:i w:val="0"/>
                <w:iCs w:val="0"/>
                <w:color w:val="000000"/>
                <w:sz w:val="18"/>
                <w:szCs w:val="18"/>
                <w:u w:val="none"/>
              </w:rPr>
            </w:pPr>
          </w:p>
        </w:tc>
        <w:tc>
          <w:tcPr>
            <w:tcW w:w="3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33610">
            <w:pPr>
              <w:jc w:val="center"/>
              <w:rPr>
                <w:rFonts w:hint="eastAsia" w:ascii="宋体" w:hAnsi="宋体" w:eastAsia="宋体" w:cs="宋体"/>
                <w:i w:val="0"/>
                <w:iCs w:val="0"/>
                <w:color w:val="000000"/>
                <w:sz w:val="18"/>
                <w:szCs w:val="18"/>
                <w:u w:val="none"/>
              </w:rPr>
            </w:pPr>
          </w:p>
        </w:tc>
        <w:tc>
          <w:tcPr>
            <w:tcW w:w="12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7FA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聚集区内化工企业平台接入聚集区平台率</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275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F21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7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708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未完成原因：项目建设期限未到，正在建设点到点网络专线，打通企业并逐步接入聚集区内化工企业平台数据，预计2025年6月底前可完成。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483C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99" w:type="pct"/>
            <w:vMerge w:val="continue"/>
            <w:tcBorders>
              <w:top w:val="single" w:color="000000" w:sz="4" w:space="0"/>
              <w:left w:val="single" w:color="000000" w:sz="4" w:space="0"/>
              <w:bottom w:val="nil"/>
              <w:right w:val="single" w:color="auto" w:sz="4" w:space="0"/>
            </w:tcBorders>
            <w:shd w:val="clear" w:color="auto" w:fill="auto"/>
            <w:vAlign w:val="center"/>
          </w:tcPr>
          <w:p w14:paraId="53F22CE5">
            <w:pPr>
              <w:jc w:val="center"/>
              <w:rPr>
                <w:rFonts w:hint="eastAsia" w:ascii="宋体" w:hAnsi="宋体" w:eastAsia="宋体" w:cs="宋体"/>
                <w:i w:val="0"/>
                <w:iCs w:val="0"/>
                <w:color w:val="000000"/>
                <w:sz w:val="18"/>
                <w:szCs w:val="18"/>
                <w:u w:val="none"/>
              </w:rPr>
            </w:pPr>
          </w:p>
        </w:tc>
        <w:tc>
          <w:tcPr>
            <w:tcW w:w="3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BCC88D">
            <w:pPr>
              <w:jc w:val="center"/>
              <w:rPr>
                <w:rFonts w:hint="eastAsia" w:ascii="宋体" w:hAnsi="宋体" w:eastAsia="宋体" w:cs="宋体"/>
                <w:i w:val="0"/>
                <w:iCs w:val="0"/>
                <w:color w:val="000000"/>
                <w:sz w:val="18"/>
                <w:szCs w:val="18"/>
                <w:u w:val="none"/>
              </w:rPr>
            </w:pPr>
          </w:p>
        </w:tc>
        <w:tc>
          <w:tcPr>
            <w:tcW w:w="3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F89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3D4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安全等保</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773DF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2.0三级</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99D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7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D69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未完成原因：项目建设期限未到；系统正在调试，待企业全面接入后，进行安全等保评测，预计2025年6月底前可完成。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45A1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299" w:type="pct"/>
            <w:vMerge w:val="continue"/>
            <w:tcBorders>
              <w:top w:val="single" w:color="000000" w:sz="4" w:space="0"/>
              <w:left w:val="single" w:color="000000" w:sz="4" w:space="0"/>
              <w:bottom w:val="nil"/>
              <w:right w:val="single" w:color="auto" w:sz="4" w:space="0"/>
            </w:tcBorders>
            <w:shd w:val="clear" w:color="auto" w:fill="auto"/>
            <w:vAlign w:val="center"/>
          </w:tcPr>
          <w:p w14:paraId="15299928">
            <w:pPr>
              <w:jc w:val="center"/>
              <w:rPr>
                <w:rFonts w:hint="eastAsia" w:ascii="宋体" w:hAnsi="宋体" w:eastAsia="宋体" w:cs="宋体"/>
                <w:i w:val="0"/>
                <w:iCs w:val="0"/>
                <w:color w:val="000000"/>
                <w:sz w:val="18"/>
                <w:szCs w:val="18"/>
                <w:u w:val="none"/>
              </w:rPr>
            </w:pPr>
          </w:p>
        </w:tc>
        <w:tc>
          <w:tcPr>
            <w:tcW w:w="3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D9BF7">
            <w:pPr>
              <w:jc w:val="center"/>
              <w:rPr>
                <w:rFonts w:hint="eastAsia" w:ascii="宋体" w:hAnsi="宋体" w:eastAsia="宋体" w:cs="宋体"/>
                <w:i w:val="0"/>
                <w:iCs w:val="0"/>
                <w:color w:val="000000"/>
                <w:sz w:val="18"/>
                <w:szCs w:val="18"/>
                <w:u w:val="none"/>
              </w:rPr>
            </w:pPr>
          </w:p>
        </w:tc>
        <w:tc>
          <w:tcPr>
            <w:tcW w:w="3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CBED6A">
            <w:pPr>
              <w:jc w:val="center"/>
              <w:rPr>
                <w:rFonts w:hint="eastAsia" w:ascii="宋体" w:hAnsi="宋体" w:eastAsia="宋体" w:cs="宋体"/>
                <w:i w:val="0"/>
                <w:iCs w:val="0"/>
                <w:color w:val="000000"/>
                <w:sz w:val="18"/>
                <w:szCs w:val="18"/>
                <w:u w:val="none"/>
              </w:rPr>
            </w:pPr>
          </w:p>
        </w:tc>
        <w:tc>
          <w:tcPr>
            <w:tcW w:w="12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161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网络延迟、响应时间和稳定性</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769F9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达到指南要求</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6A9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7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0E5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未完成原因：项目建设期限未到；系统正在调试，待企业全面接入后，进行软件测评，预计2025年6月底前可完成。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7C13D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99" w:type="pct"/>
            <w:vMerge w:val="continue"/>
            <w:tcBorders>
              <w:top w:val="single" w:color="000000" w:sz="4" w:space="0"/>
              <w:left w:val="single" w:color="000000" w:sz="4" w:space="0"/>
              <w:bottom w:val="nil"/>
              <w:right w:val="single" w:color="auto" w:sz="4" w:space="0"/>
            </w:tcBorders>
            <w:shd w:val="clear" w:color="auto" w:fill="auto"/>
            <w:vAlign w:val="center"/>
          </w:tcPr>
          <w:p w14:paraId="47D52BE6">
            <w:pPr>
              <w:jc w:val="center"/>
              <w:rPr>
                <w:rFonts w:hint="eastAsia" w:ascii="宋体" w:hAnsi="宋体" w:eastAsia="宋体" w:cs="宋体"/>
                <w:i w:val="0"/>
                <w:iCs w:val="0"/>
                <w:color w:val="000000"/>
                <w:sz w:val="18"/>
                <w:szCs w:val="18"/>
                <w:u w:val="none"/>
              </w:rPr>
            </w:pPr>
          </w:p>
        </w:tc>
        <w:tc>
          <w:tcPr>
            <w:tcW w:w="3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D8C47">
            <w:pPr>
              <w:jc w:val="center"/>
              <w:rPr>
                <w:rFonts w:hint="eastAsia" w:ascii="宋体" w:hAnsi="宋体" w:eastAsia="宋体" w:cs="宋体"/>
                <w:i w:val="0"/>
                <w:iCs w:val="0"/>
                <w:color w:val="000000"/>
                <w:sz w:val="18"/>
                <w:szCs w:val="18"/>
                <w:u w:val="none"/>
              </w:rPr>
            </w:pPr>
          </w:p>
        </w:tc>
        <w:tc>
          <w:tcPr>
            <w:tcW w:w="3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1E2DB">
            <w:pPr>
              <w:jc w:val="center"/>
              <w:rPr>
                <w:rFonts w:hint="eastAsia" w:ascii="宋体" w:hAnsi="宋体" w:eastAsia="宋体" w:cs="宋体"/>
                <w:i w:val="0"/>
                <w:iCs w:val="0"/>
                <w:color w:val="000000"/>
                <w:sz w:val="18"/>
                <w:szCs w:val="18"/>
                <w:u w:val="none"/>
              </w:rPr>
            </w:pPr>
          </w:p>
        </w:tc>
        <w:tc>
          <w:tcPr>
            <w:tcW w:w="12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B52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预警响应率</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C09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44C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7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FDCF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未完成原因：项目建设期限未到；项目未竣工验收，系统正在调试，待项目竣工验收后再统一考核，预计2025年6月底前可完成。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0A4D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299" w:type="pct"/>
            <w:vMerge w:val="continue"/>
            <w:tcBorders>
              <w:top w:val="single" w:color="000000" w:sz="4" w:space="0"/>
              <w:left w:val="single" w:color="000000" w:sz="4" w:space="0"/>
              <w:bottom w:val="nil"/>
              <w:right w:val="single" w:color="auto" w:sz="4" w:space="0"/>
            </w:tcBorders>
            <w:shd w:val="clear" w:color="auto" w:fill="auto"/>
            <w:vAlign w:val="center"/>
          </w:tcPr>
          <w:p w14:paraId="4050102C">
            <w:pPr>
              <w:jc w:val="center"/>
              <w:rPr>
                <w:rFonts w:hint="eastAsia" w:ascii="宋体" w:hAnsi="宋体" w:eastAsia="宋体" w:cs="宋体"/>
                <w:i w:val="0"/>
                <w:iCs w:val="0"/>
                <w:color w:val="000000"/>
                <w:sz w:val="18"/>
                <w:szCs w:val="18"/>
                <w:u w:val="none"/>
              </w:rPr>
            </w:pPr>
          </w:p>
        </w:tc>
        <w:tc>
          <w:tcPr>
            <w:tcW w:w="3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40EA34">
            <w:pPr>
              <w:jc w:val="center"/>
              <w:rPr>
                <w:rFonts w:hint="eastAsia" w:ascii="宋体" w:hAnsi="宋体" w:eastAsia="宋体" w:cs="宋体"/>
                <w:i w:val="0"/>
                <w:iCs w:val="0"/>
                <w:color w:val="000000"/>
                <w:sz w:val="18"/>
                <w:szCs w:val="18"/>
                <w:u w:val="none"/>
              </w:rPr>
            </w:pPr>
          </w:p>
        </w:tc>
        <w:tc>
          <w:tcPr>
            <w:tcW w:w="3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06CA7">
            <w:pPr>
              <w:jc w:val="center"/>
              <w:rPr>
                <w:rFonts w:hint="eastAsia" w:ascii="宋体" w:hAnsi="宋体" w:eastAsia="宋体" w:cs="宋体"/>
                <w:i w:val="0"/>
                <w:iCs w:val="0"/>
                <w:color w:val="000000"/>
                <w:sz w:val="18"/>
                <w:szCs w:val="18"/>
                <w:u w:val="none"/>
              </w:rPr>
            </w:pPr>
          </w:p>
        </w:tc>
        <w:tc>
          <w:tcPr>
            <w:tcW w:w="12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361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基本功能建成率</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6A715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F60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7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24A2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截至2024年12月31日，基本功能建成率达90%。气云成像设备正与企业积极协调、勘探安装位置；企业人员定位已留有接口，待企业建设完成相关模块后接入，预计2025年6月底前能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5585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99" w:type="pct"/>
            <w:vMerge w:val="continue"/>
            <w:tcBorders>
              <w:top w:val="single" w:color="000000" w:sz="4" w:space="0"/>
              <w:left w:val="single" w:color="000000" w:sz="4" w:space="0"/>
              <w:bottom w:val="nil"/>
              <w:right w:val="single" w:color="auto" w:sz="4" w:space="0"/>
            </w:tcBorders>
            <w:shd w:val="clear" w:color="auto" w:fill="auto"/>
            <w:vAlign w:val="center"/>
          </w:tcPr>
          <w:p w14:paraId="62D8B67B">
            <w:pPr>
              <w:jc w:val="center"/>
              <w:rPr>
                <w:rFonts w:hint="eastAsia" w:ascii="宋体" w:hAnsi="宋体" w:eastAsia="宋体" w:cs="宋体"/>
                <w:i w:val="0"/>
                <w:iCs w:val="0"/>
                <w:color w:val="000000"/>
                <w:sz w:val="18"/>
                <w:szCs w:val="18"/>
                <w:u w:val="none"/>
              </w:rPr>
            </w:pPr>
          </w:p>
        </w:tc>
        <w:tc>
          <w:tcPr>
            <w:tcW w:w="3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929CC">
            <w:pPr>
              <w:jc w:val="center"/>
              <w:rPr>
                <w:rFonts w:hint="eastAsia" w:ascii="宋体" w:hAnsi="宋体" w:eastAsia="宋体" w:cs="宋体"/>
                <w:i w:val="0"/>
                <w:iCs w:val="0"/>
                <w:color w:val="000000"/>
                <w:sz w:val="18"/>
                <w:szCs w:val="18"/>
                <w:u w:val="none"/>
              </w:rPr>
            </w:pP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37A51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77B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建设周期</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2CE13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966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有序推进中</w:t>
            </w:r>
          </w:p>
        </w:tc>
        <w:tc>
          <w:tcPr>
            <w:tcW w:w="17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9953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未完成原因：项目建设期限未到；项目于2024年7月开工建设，预计2025年6月底前可完成。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66C2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99" w:type="pct"/>
            <w:vMerge w:val="continue"/>
            <w:tcBorders>
              <w:top w:val="single" w:color="000000" w:sz="4" w:space="0"/>
              <w:left w:val="single" w:color="000000" w:sz="4" w:space="0"/>
              <w:bottom w:val="nil"/>
              <w:right w:val="single" w:color="auto" w:sz="4" w:space="0"/>
            </w:tcBorders>
            <w:shd w:val="clear" w:color="auto" w:fill="auto"/>
            <w:vAlign w:val="center"/>
          </w:tcPr>
          <w:p w14:paraId="1DDED2FA">
            <w:pPr>
              <w:jc w:val="center"/>
              <w:rPr>
                <w:rFonts w:hint="eastAsia" w:ascii="宋体" w:hAnsi="宋体" w:eastAsia="宋体" w:cs="宋体"/>
                <w:i w:val="0"/>
                <w:iCs w:val="0"/>
                <w:color w:val="000000"/>
                <w:sz w:val="18"/>
                <w:szCs w:val="18"/>
                <w:u w:val="none"/>
              </w:rPr>
            </w:pPr>
          </w:p>
        </w:tc>
        <w:tc>
          <w:tcPr>
            <w:tcW w:w="3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8D4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3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EE4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47E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园区重大安全风险数字化管控水平</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5E267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大幅提升</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CC8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将于项目完成后统一考核</w:t>
            </w:r>
          </w:p>
        </w:tc>
        <w:tc>
          <w:tcPr>
            <w:tcW w:w="1790"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E90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未完成原因：项目建设期限未到，预计2025年6月底前可完成。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75DC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99" w:type="pct"/>
            <w:vMerge w:val="continue"/>
            <w:tcBorders>
              <w:top w:val="single" w:color="000000" w:sz="4" w:space="0"/>
              <w:left w:val="single" w:color="000000" w:sz="4" w:space="0"/>
              <w:bottom w:val="nil"/>
              <w:right w:val="single" w:color="auto" w:sz="4" w:space="0"/>
            </w:tcBorders>
            <w:shd w:val="clear" w:color="auto" w:fill="auto"/>
            <w:vAlign w:val="center"/>
          </w:tcPr>
          <w:p w14:paraId="6AA81405">
            <w:pPr>
              <w:jc w:val="center"/>
              <w:rPr>
                <w:rFonts w:hint="eastAsia" w:ascii="宋体" w:hAnsi="宋体" w:eastAsia="宋体" w:cs="宋体"/>
                <w:i w:val="0"/>
                <w:iCs w:val="0"/>
                <w:color w:val="000000"/>
                <w:sz w:val="18"/>
                <w:szCs w:val="18"/>
                <w:u w:val="none"/>
              </w:rPr>
            </w:pPr>
          </w:p>
        </w:tc>
        <w:tc>
          <w:tcPr>
            <w:tcW w:w="3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5E5A5">
            <w:pPr>
              <w:jc w:val="center"/>
              <w:rPr>
                <w:rFonts w:hint="eastAsia" w:ascii="宋体" w:hAnsi="宋体" w:eastAsia="宋体" w:cs="宋体"/>
                <w:i w:val="0"/>
                <w:iCs w:val="0"/>
                <w:color w:val="000000"/>
                <w:sz w:val="18"/>
                <w:szCs w:val="18"/>
                <w:u w:val="none"/>
              </w:rPr>
            </w:pPr>
          </w:p>
        </w:tc>
        <w:tc>
          <w:tcPr>
            <w:tcW w:w="3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3A374C">
            <w:pPr>
              <w:jc w:val="center"/>
              <w:rPr>
                <w:rFonts w:hint="eastAsia" w:ascii="宋体" w:hAnsi="宋体" w:eastAsia="宋体" w:cs="宋体"/>
                <w:i w:val="0"/>
                <w:iCs w:val="0"/>
                <w:color w:val="000000"/>
                <w:sz w:val="18"/>
                <w:szCs w:val="18"/>
                <w:u w:val="none"/>
              </w:rPr>
            </w:pPr>
          </w:p>
        </w:tc>
        <w:tc>
          <w:tcPr>
            <w:tcW w:w="12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C9F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园区内企业重大安全风险数字化管控水平</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793B2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大幅提升</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B7F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将于项目完成后统一考核</w:t>
            </w:r>
          </w:p>
        </w:tc>
        <w:tc>
          <w:tcPr>
            <w:tcW w:w="1790"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A995F">
            <w:pPr>
              <w:jc w:val="center"/>
              <w:rPr>
                <w:rFonts w:hint="eastAsia" w:ascii="宋体" w:hAnsi="宋体" w:eastAsia="宋体" w:cs="宋体"/>
                <w:i w:val="0"/>
                <w:iCs w:val="0"/>
                <w:color w:val="000000"/>
                <w:sz w:val="18"/>
                <w:szCs w:val="18"/>
                <w:u w:val="none"/>
              </w:rPr>
            </w:pPr>
          </w:p>
        </w:tc>
      </w:tr>
      <w:tr w14:paraId="7A13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299" w:type="pct"/>
            <w:vMerge w:val="continue"/>
            <w:tcBorders>
              <w:top w:val="single" w:color="000000" w:sz="4" w:space="0"/>
              <w:left w:val="single" w:color="000000" w:sz="4" w:space="0"/>
              <w:bottom w:val="nil"/>
              <w:right w:val="single" w:color="auto" w:sz="4" w:space="0"/>
            </w:tcBorders>
            <w:shd w:val="clear" w:color="auto" w:fill="auto"/>
            <w:vAlign w:val="center"/>
          </w:tcPr>
          <w:p w14:paraId="272FB625">
            <w:pPr>
              <w:jc w:val="center"/>
              <w:rPr>
                <w:rFonts w:hint="eastAsia" w:ascii="宋体" w:hAnsi="宋体" w:eastAsia="宋体" w:cs="宋体"/>
                <w:i w:val="0"/>
                <w:iCs w:val="0"/>
                <w:color w:val="000000"/>
                <w:sz w:val="18"/>
                <w:szCs w:val="18"/>
                <w:u w:val="none"/>
              </w:rPr>
            </w:pP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7BA7E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76F9A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B4AC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聚集区内企业满意度</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1FE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660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将于项目完成后统一考核</w:t>
            </w:r>
          </w:p>
        </w:tc>
        <w:tc>
          <w:tcPr>
            <w:tcW w:w="17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FAD1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未完成原因：项目建设期限未到，预计2025年6月底前可完成。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改进措施：后续拟加快项目执行进度，加强过程管控，确保项目目标的达成。</w:t>
            </w:r>
          </w:p>
        </w:tc>
      </w:tr>
      <w:tr w14:paraId="477B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9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73F6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w:t>
            </w:r>
          </w:p>
        </w:tc>
        <w:tc>
          <w:tcPr>
            <w:tcW w:w="47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B6C2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bl>
    <w:p w14:paraId="20544AE4">
      <w:pPr>
        <w:rPr>
          <w:rFonts w:hint="eastAsia"/>
          <w:lang w:val="en-US" w:eastAsia="zh-CN"/>
        </w:rPr>
      </w:pPr>
    </w:p>
    <w:p w14:paraId="1E62B66E">
      <w:pPr>
        <w:pStyle w:val="2"/>
        <w:rPr>
          <w:rFonts w:hint="default"/>
          <w:lang w:val="en-US" w:eastAsia="zh-CN"/>
        </w:rPr>
      </w:pPr>
    </w:p>
    <w:sectPr>
      <w:pgSz w:w="11906" w:h="16838"/>
      <w:pgMar w:top="1247" w:right="1247" w:bottom="1247" w:left="124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汉仪细圆B5">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54D">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CFCB8">
    <w:pPr>
      <w:pStyle w:val="9"/>
      <w:framePr w:wrap="around" w:vAnchor="text" w:hAnchor="margin" w:xAlign="outside" w:y="1"/>
      <w:rPr>
        <w:rStyle w:val="19"/>
        <w:rFonts w:ascii="仿宋_GB2312" w:eastAsia="仿宋_GB2312"/>
        <w:sz w:val="28"/>
        <w:szCs w:val="28"/>
      </w:rPr>
    </w:pPr>
    <w:r>
      <w:rPr>
        <w:rStyle w:val="19"/>
        <w:rFonts w:hint="eastAsia" w:ascii="仿宋_GB2312" w:eastAsia="仿宋_GB2312"/>
        <w:sz w:val="28"/>
        <w:szCs w:val="28"/>
      </w:rPr>
      <w:fldChar w:fldCharType="begin"/>
    </w:r>
    <w:r>
      <w:rPr>
        <w:rStyle w:val="19"/>
        <w:rFonts w:hint="eastAsia" w:ascii="仿宋_GB2312" w:eastAsia="仿宋_GB2312"/>
        <w:sz w:val="28"/>
        <w:szCs w:val="28"/>
      </w:rPr>
      <w:instrText xml:space="preserve">PAGE  </w:instrText>
    </w:r>
    <w:r>
      <w:rPr>
        <w:rStyle w:val="19"/>
        <w:rFonts w:hint="eastAsia" w:ascii="仿宋_GB2312" w:eastAsia="仿宋_GB2312"/>
        <w:sz w:val="28"/>
        <w:szCs w:val="28"/>
      </w:rPr>
      <w:fldChar w:fldCharType="separate"/>
    </w:r>
    <w:r>
      <w:rPr>
        <w:rStyle w:val="19"/>
        <w:rFonts w:ascii="仿宋_GB2312" w:eastAsia="仿宋_GB2312"/>
        <w:sz w:val="28"/>
        <w:szCs w:val="28"/>
      </w:rPr>
      <w:t>- 6 -</w:t>
    </w:r>
    <w:r>
      <w:rPr>
        <w:rStyle w:val="19"/>
        <w:rFonts w:hint="eastAsia" w:ascii="仿宋_GB2312" w:eastAsia="仿宋_GB2312"/>
        <w:sz w:val="28"/>
        <w:szCs w:val="28"/>
      </w:rPr>
      <w:fldChar w:fldCharType="end"/>
    </w:r>
  </w:p>
  <w:p w14:paraId="06ABF9C6">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9175"/>
    </w:sdtPr>
    <w:sdtContent>
      <w:p w14:paraId="4129549C">
        <w:pPr>
          <w:pStyle w:val="9"/>
          <w:jc w:val="center"/>
        </w:pPr>
        <w:r>
          <w:fldChar w:fldCharType="begin"/>
        </w:r>
        <w:r>
          <w:instrText xml:space="preserve"> PAGE   \* MERGEFORMAT </w:instrText>
        </w:r>
        <w:r>
          <w:fldChar w:fldCharType="separate"/>
        </w:r>
        <w:r>
          <w:rPr>
            <w:lang w:val="zh-CN"/>
          </w:rPr>
          <w:t>26</w:t>
        </w:r>
        <w:r>
          <w:rPr>
            <w:lang w:val="zh-CN"/>
          </w:rPr>
          <w:fldChar w:fldCharType="end"/>
        </w:r>
      </w:p>
    </w:sdtContent>
  </w:sdt>
  <w:p w14:paraId="16D38142">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FiZWQyMDRkMWIzMTIxZDBhODQ2YzA0NTYxYjk2YWEifQ=="/>
  </w:docVars>
  <w:rsids>
    <w:rsidRoot w:val="00D06D72"/>
    <w:rsid w:val="00000347"/>
    <w:rsid w:val="00000456"/>
    <w:rsid w:val="0000126D"/>
    <w:rsid w:val="00001B9E"/>
    <w:rsid w:val="00002341"/>
    <w:rsid w:val="00002691"/>
    <w:rsid w:val="00002A39"/>
    <w:rsid w:val="00002D4D"/>
    <w:rsid w:val="0000335B"/>
    <w:rsid w:val="0000360F"/>
    <w:rsid w:val="0000390A"/>
    <w:rsid w:val="00003A7D"/>
    <w:rsid w:val="00003F38"/>
    <w:rsid w:val="000042AD"/>
    <w:rsid w:val="000048D9"/>
    <w:rsid w:val="00004DCA"/>
    <w:rsid w:val="00004E92"/>
    <w:rsid w:val="000056BF"/>
    <w:rsid w:val="000059F3"/>
    <w:rsid w:val="00006546"/>
    <w:rsid w:val="0000687F"/>
    <w:rsid w:val="000069C5"/>
    <w:rsid w:val="00007396"/>
    <w:rsid w:val="000077C8"/>
    <w:rsid w:val="00011326"/>
    <w:rsid w:val="00011C44"/>
    <w:rsid w:val="00011FF5"/>
    <w:rsid w:val="000123FD"/>
    <w:rsid w:val="000135C0"/>
    <w:rsid w:val="00014790"/>
    <w:rsid w:val="00014B10"/>
    <w:rsid w:val="000150CD"/>
    <w:rsid w:val="000150DB"/>
    <w:rsid w:val="00015210"/>
    <w:rsid w:val="00015836"/>
    <w:rsid w:val="00016299"/>
    <w:rsid w:val="0001775D"/>
    <w:rsid w:val="0001780C"/>
    <w:rsid w:val="00017983"/>
    <w:rsid w:val="00017B94"/>
    <w:rsid w:val="0002048C"/>
    <w:rsid w:val="00020792"/>
    <w:rsid w:val="00020A2E"/>
    <w:rsid w:val="000222BF"/>
    <w:rsid w:val="00024270"/>
    <w:rsid w:val="00024374"/>
    <w:rsid w:val="00024938"/>
    <w:rsid w:val="0002528F"/>
    <w:rsid w:val="00025433"/>
    <w:rsid w:val="00025554"/>
    <w:rsid w:val="000260D1"/>
    <w:rsid w:val="00026434"/>
    <w:rsid w:val="00026A00"/>
    <w:rsid w:val="00026A2D"/>
    <w:rsid w:val="00026DFC"/>
    <w:rsid w:val="00027880"/>
    <w:rsid w:val="000279BA"/>
    <w:rsid w:val="00027D8D"/>
    <w:rsid w:val="0003023A"/>
    <w:rsid w:val="00031957"/>
    <w:rsid w:val="00031A14"/>
    <w:rsid w:val="00031A93"/>
    <w:rsid w:val="0003205F"/>
    <w:rsid w:val="000331C3"/>
    <w:rsid w:val="0003362C"/>
    <w:rsid w:val="000336FC"/>
    <w:rsid w:val="000344D3"/>
    <w:rsid w:val="000344EC"/>
    <w:rsid w:val="00034B92"/>
    <w:rsid w:val="00034B99"/>
    <w:rsid w:val="00034C3B"/>
    <w:rsid w:val="00034F4C"/>
    <w:rsid w:val="00034F77"/>
    <w:rsid w:val="00036413"/>
    <w:rsid w:val="00036924"/>
    <w:rsid w:val="00036D27"/>
    <w:rsid w:val="00037149"/>
    <w:rsid w:val="00037F10"/>
    <w:rsid w:val="0004055D"/>
    <w:rsid w:val="00040EBB"/>
    <w:rsid w:val="00041155"/>
    <w:rsid w:val="000413A4"/>
    <w:rsid w:val="000415AC"/>
    <w:rsid w:val="0004167F"/>
    <w:rsid w:val="00042470"/>
    <w:rsid w:val="0004508D"/>
    <w:rsid w:val="000451CB"/>
    <w:rsid w:val="000454F6"/>
    <w:rsid w:val="00045B66"/>
    <w:rsid w:val="00045FFC"/>
    <w:rsid w:val="000466B9"/>
    <w:rsid w:val="000478E7"/>
    <w:rsid w:val="00047AD1"/>
    <w:rsid w:val="00050F88"/>
    <w:rsid w:val="0005115E"/>
    <w:rsid w:val="00051167"/>
    <w:rsid w:val="000511E1"/>
    <w:rsid w:val="00051EEC"/>
    <w:rsid w:val="00052103"/>
    <w:rsid w:val="00052F4E"/>
    <w:rsid w:val="00053475"/>
    <w:rsid w:val="000534F4"/>
    <w:rsid w:val="00053520"/>
    <w:rsid w:val="000540CC"/>
    <w:rsid w:val="000543F2"/>
    <w:rsid w:val="000546A2"/>
    <w:rsid w:val="000550B6"/>
    <w:rsid w:val="000554E5"/>
    <w:rsid w:val="00055D17"/>
    <w:rsid w:val="00055D96"/>
    <w:rsid w:val="00055F00"/>
    <w:rsid w:val="00056009"/>
    <w:rsid w:val="000572D2"/>
    <w:rsid w:val="00057B8D"/>
    <w:rsid w:val="0006196C"/>
    <w:rsid w:val="00061B69"/>
    <w:rsid w:val="00062A1E"/>
    <w:rsid w:val="00062E90"/>
    <w:rsid w:val="00063956"/>
    <w:rsid w:val="0006489A"/>
    <w:rsid w:val="000650D2"/>
    <w:rsid w:val="00066E1F"/>
    <w:rsid w:val="000672E1"/>
    <w:rsid w:val="00067BEB"/>
    <w:rsid w:val="0007015B"/>
    <w:rsid w:val="000709B9"/>
    <w:rsid w:val="00070CB6"/>
    <w:rsid w:val="00070EA5"/>
    <w:rsid w:val="00071A5E"/>
    <w:rsid w:val="000723E5"/>
    <w:rsid w:val="00072802"/>
    <w:rsid w:val="0007328D"/>
    <w:rsid w:val="00074192"/>
    <w:rsid w:val="00074647"/>
    <w:rsid w:val="00074FCA"/>
    <w:rsid w:val="000750BD"/>
    <w:rsid w:val="00075503"/>
    <w:rsid w:val="000758BA"/>
    <w:rsid w:val="00075AF6"/>
    <w:rsid w:val="00075C79"/>
    <w:rsid w:val="00075E4D"/>
    <w:rsid w:val="00076BD2"/>
    <w:rsid w:val="00076D06"/>
    <w:rsid w:val="00076F88"/>
    <w:rsid w:val="0007724F"/>
    <w:rsid w:val="000777EB"/>
    <w:rsid w:val="00077FBD"/>
    <w:rsid w:val="00077FDA"/>
    <w:rsid w:val="00080849"/>
    <w:rsid w:val="00082E7F"/>
    <w:rsid w:val="00082F96"/>
    <w:rsid w:val="00083A6C"/>
    <w:rsid w:val="00084032"/>
    <w:rsid w:val="0008408E"/>
    <w:rsid w:val="000842A3"/>
    <w:rsid w:val="0008447F"/>
    <w:rsid w:val="0008449D"/>
    <w:rsid w:val="00084806"/>
    <w:rsid w:val="00084D0F"/>
    <w:rsid w:val="00085195"/>
    <w:rsid w:val="0008570C"/>
    <w:rsid w:val="000863CE"/>
    <w:rsid w:val="000867F4"/>
    <w:rsid w:val="00086BB5"/>
    <w:rsid w:val="00087C66"/>
    <w:rsid w:val="00090504"/>
    <w:rsid w:val="00090DFA"/>
    <w:rsid w:val="00090E3A"/>
    <w:rsid w:val="000910E1"/>
    <w:rsid w:val="00091C38"/>
    <w:rsid w:val="000926EB"/>
    <w:rsid w:val="000927F5"/>
    <w:rsid w:val="000938D5"/>
    <w:rsid w:val="00093DE9"/>
    <w:rsid w:val="00093F0A"/>
    <w:rsid w:val="00093F70"/>
    <w:rsid w:val="00094070"/>
    <w:rsid w:val="00094A5B"/>
    <w:rsid w:val="00094A8F"/>
    <w:rsid w:val="0009547A"/>
    <w:rsid w:val="000958A4"/>
    <w:rsid w:val="000958ED"/>
    <w:rsid w:val="00095937"/>
    <w:rsid w:val="0009616D"/>
    <w:rsid w:val="00096259"/>
    <w:rsid w:val="000964C5"/>
    <w:rsid w:val="000971BA"/>
    <w:rsid w:val="00097660"/>
    <w:rsid w:val="00097E53"/>
    <w:rsid w:val="000A002C"/>
    <w:rsid w:val="000A0BDF"/>
    <w:rsid w:val="000A1029"/>
    <w:rsid w:val="000A121F"/>
    <w:rsid w:val="000A16F4"/>
    <w:rsid w:val="000A18E6"/>
    <w:rsid w:val="000A1F78"/>
    <w:rsid w:val="000A32DE"/>
    <w:rsid w:val="000A356F"/>
    <w:rsid w:val="000A3C11"/>
    <w:rsid w:val="000A403E"/>
    <w:rsid w:val="000A4AE9"/>
    <w:rsid w:val="000A4EEE"/>
    <w:rsid w:val="000A5257"/>
    <w:rsid w:val="000A57A4"/>
    <w:rsid w:val="000A588A"/>
    <w:rsid w:val="000A6404"/>
    <w:rsid w:val="000A6775"/>
    <w:rsid w:val="000A6FCD"/>
    <w:rsid w:val="000A711E"/>
    <w:rsid w:val="000B05FF"/>
    <w:rsid w:val="000B1701"/>
    <w:rsid w:val="000B5BA7"/>
    <w:rsid w:val="000B60B7"/>
    <w:rsid w:val="000B619B"/>
    <w:rsid w:val="000B7850"/>
    <w:rsid w:val="000B7AF9"/>
    <w:rsid w:val="000B7BD0"/>
    <w:rsid w:val="000B7C7F"/>
    <w:rsid w:val="000B7FF5"/>
    <w:rsid w:val="000C08C1"/>
    <w:rsid w:val="000C0D81"/>
    <w:rsid w:val="000C1F85"/>
    <w:rsid w:val="000C2BEB"/>
    <w:rsid w:val="000C2C73"/>
    <w:rsid w:val="000C36F9"/>
    <w:rsid w:val="000C374A"/>
    <w:rsid w:val="000C3907"/>
    <w:rsid w:val="000C3DA6"/>
    <w:rsid w:val="000C4279"/>
    <w:rsid w:val="000C484C"/>
    <w:rsid w:val="000C4EB0"/>
    <w:rsid w:val="000C56F8"/>
    <w:rsid w:val="000C583C"/>
    <w:rsid w:val="000C7BFB"/>
    <w:rsid w:val="000C7CFC"/>
    <w:rsid w:val="000D004C"/>
    <w:rsid w:val="000D08FB"/>
    <w:rsid w:val="000D109A"/>
    <w:rsid w:val="000D1468"/>
    <w:rsid w:val="000D288A"/>
    <w:rsid w:val="000D348C"/>
    <w:rsid w:val="000D4476"/>
    <w:rsid w:val="000D4BFC"/>
    <w:rsid w:val="000D5959"/>
    <w:rsid w:val="000D5A16"/>
    <w:rsid w:val="000D5B52"/>
    <w:rsid w:val="000D5E6F"/>
    <w:rsid w:val="000D61DD"/>
    <w:rsid w:val="000D6B9D"/>
    <w:rsid w:val="000D6C56"/>
    <w:rsid w:val="000E0791"/>
    <w:rsid w:val="000E0A5F"/>
    <w:rsid w:val="000E0AB7"/>
    <w:rsid w:val="000E0ECF"/>
    <w:rsid w:val="000E13DD"/>
    <w:rsid w:val="000E1D1B"/>
    <w:rsid w:val="000E2008"/>
    <w:rsid w:val="000E2404"/>
    <w:rsid w:val="000E2841"/>
    <w:rsid w:val="000E2CCF"/>
    <w:rsid w:val="000E2EED"/>
    <w:rsid w:val="000E34EE"/>
    <w:rsid w:val="000E420C"/>
    <w:rsid w:val="000E5486"/>
    <w:rsid w:val="000E6A6F"/>
    <w:rsid w:val="000E7B31"/>
    <w:rsid w:val="000E7B58"/>
    <w:rsid w:val="000F07D1"/>
    <w:rsid w:val="000F170F"/>
    <w:rsid w:val="000F26FD"/>
    <w:rsid w:val="000F3460"/>
    <w:rsid w:val="000F366F"/>
    <w:rsid w:val="000F4007"/>
    <w:rsid w:val="000F473B"/>
    <w:rsid w:val="000F4768"/>
    <w:rsid w:val="000F61AF"/>
    <w:rsid w:val="000F68AF"/>
    <w:rsid w:val="000F6CF5"/>
    <w:rsid w:val="000F6F0E"/>
    <w:rsid w:val="000F7065"/>
    <w:rsid w:val="00100304"/>
    <w:rsid w:val="00100974"/>
    <w:rsid w:val="00100A2C"/>
    <w:rsid w:val="00101737"/>
    <w:rsid w:val="00101793"/>
    <w:rsid w:val="00101DAA"/>
    <w:rsid w:val="00102511"/>
    <w:rsid w:val="0010270C"/>
    <w:rsid w:val="00102C00"/>
    <w:rsid w:val="00102D0D"/>
    <w:rsid w:val="00102EE0"/>
    <w:rsid w:val="00103770"/>
    <w:rsid w:val="001038F4"/>
    <w:rsid w:val="0010395B"/>
    <w:rsid w:val="0010451A"/>
    <w:rsid w:val="001048E3"/>
    <w:rsid w:val="00104BE5"/>
    <w:rsid w:val="00104EC4"/>
    <w:rsid w:val="001050B2"/>
    <w:rsid w:val="001051DF"/>
    <w:rsid w:val="00105A24"/>
    <w:rsid w:val="00105D5C"/>
    <w:rsid w:val="00106EBF"/>
    <w:rsid w:val="00106EE4"/>
    <w:rsid w:val="00106F76"/>
    <w:rsid w:val="00107400"/>
    <w:rsid w:val="00107DDA"/>
    <w:rsid w:val="001106BF"/>
    <w:rsid w:val="001108C2"/>
    <w:rsid w:val="00110995"/>
    <w:rsid w:val="00110E23"/>
    <w:rsid w:val="00111207"/>
    <w:rsid w:val="0011132D"/>
    <w:rsid w:val="001115CC"/>
    <w:rsid w:val="00111A01"/>
    <w:rsid w:val="0011200B"/>
    <w:rsid w:val="00112744"/>
    <w:rsid w:val="0011289C"/>
    <w:rsid w:val="0011455B"/>
    <w:rsid w:val="00114ACB"/>
    <w:rsid w:val="0011524C"/>
    <w:rsid w:val="0011546B"/>
    <w:rsid w:val="001160C1"/>
    <w:rsid w:val="00117238"/>
    <w:rsid w:val="00117827"/>
    <w:rsid w:val="00117BCF"/>
    <w:rsid w:val="0012013B"/>
    <w:rsid w:val="0012034B"/>
    <w:rsid w:val="001209FD"/>
    <w:rsid w:val="00121DBB"/>
    <w:rsid w:val="0012251D"/>
    <w:rsid w:val="00122852"/>
    <w:rsid w:val="00122C8E"/>
    <w:rsid w:val="00123030"/>
    <w:rsid w:val="00123830"/>
    <w:rsid w:val="001243DF"/>
    <w:rsid w:val="00124A35"/>
    <w:rsid w:val="00124BCD"/>
    <w:rsid w:val="00124E8F"/>
    <w:rsid w:val="00125688"/>
    <w:rsid w:val="00126AE8"/>
    <w:rsid w:val="00126EA4"/>
    <w:rsid w:val="00127C5F"/>
    <w:rsid w:val="001301DF"/>
    <w:rsid w:val="001302E3"/>
    <w:rsid w:val="00130663"/>
    <w:rsid w:val="001306D2"/>
    <w:rsid w:val="00130C54"/>
    <w:rsid w:val="00130D85"/>
    <w:rsid w:val="001311F5"/>
    <w:rsid w:val="00133198"/>
    <w:rsid w:val="0013385C"/>
    <w:rsid w:val="001349C1"/>
    <w:rsid w:val="00134DC3"/>
    <w:rsid w:val="001351C6"/>
    <w:rsid w:val="00135391"/>
    <w:rsid w:val="00135F6D"/>
    <w:rsid w:val="001366A4"/>
    <w:rsid w:val="0013672C"/>
    <w:rsid w:val="00136AEE"/>
    <w:rsid w:val="00137452"/>
    <w:rsid w:val="0014079A"/>
    <w:rsid w:val="00140989"/>
    <w:rsid w:val="001410E9"/>
    <w:rsid w:val="00141CAC"/>
    <w:rsid w:val="0014205F"/>
    <w:rsid w:val="00142A06"/>
    <w:rsid w:val="00142E48"/>
    <w:rsid w:val="00143228"/>
    <w:rsid w:val="001440BE"/>
    <w:rsid w:val="00144CAB"/>
    <w:rsid w:val="00145909"/>
    <w:rsid w:val="00145ED1"/>
    <w:rsid w:val="00146664"/>
    <w:rsid w:val="00146C5B"/>
    <w:rsid w:val="00147164"/>
    <w:rsid w:val="001474C3"/>
    <w:rsid w:val="00147907"/>
    <w:rsid w:val="0015002F"/>
    <w:rsid w:val="00150194"/>
    <w:rsid w:val="00150289"/>
    <w:rsid w:val="00150A1B"/>
    <w:rsid w:val="00150A45"/>
    <w:rsid w:val="00150C69"/>
    <w:rsid w:val="00151D4E"/>
    <w:rsid w:val="00151F54"/>
    <w:rsid w:val="0015244A"/>
    <w:rsid w:val="00152A51"/>
    <w:rsid w:val="00152F68"/>
    <w:rsid w:val="00153A2C"/>
    <w:rsid w:val="00153BA2"/>
    <w:rsid w:val="001550AB"/>
    <w:rsid w:val="0015517D"/>
    <w:rsid w:val="00155782"/>
    <w:rsid w:val="00155CC1"/>
    <w:rsid w:val="00156232"/>
    <w:rsid w:val="00156683"/>
    <w:rsid w:val="0015675E"/>
    <w:rsid w:val="00156942"/>
    <w:rsid w:val="00156FB4"/>
    <w:rsid w:val="0015799C"/>
    <w:rsid w:val="00157C6B"/>
    <w:rsid w:val="00157D94"/>
    <w:rsid w:val="0016071A"/>
    <w:rsid w:val="00160EE4"/>
    <w:rsid w:val="00161296"/>
    <w:rsid w:val="0016139A"/>
    <w:rsid w:val="00161507"/>
    <w:rsid w:val="00162B12"/>
    <w:rsid w:val="00163087"/>
    <w:rsid w:val="0016319A"/>
    <w:rsid w:val="001634B6"/>
    <w:rsid w:val="001635C6"/>
    <w:rsid w:val="00163D34"/>
    <w:rsid w:val="00163DCC"/>
    <w:rsid w:val="00163F6D"/>
    <w:rsid w:val="00164D30"/>
    <w:rsid w:val="00165120"/>
    <w:rsid w:val="001654F5"/>
    <w:rsid w:val="001655D3"/>
    <w:rsid w:val="00165D25"/>
    <w:rsid w:val="00166723"/>
    <w:rsid w:val="00166747"/>
    <w:rsid w:val="001667D8"/>
    <w:rsid w:val="00167DBB"/>
    <w:rsid w:val="001700DA"/>
    <w:rsid w:val="001701D6"/>
    <w:rsid w:val="001716E0"/>
    <w:rsid w:val="001722DF"/>
    <w:rsid w:val="00172A50"/>
    <w:rsid w:val="00173068"/>
    <w:rsid w:val="00173166"/>
    <w:rsid w:val="0017362B"/>
    <w:rsid w:val="001737EB"/>
    <w:rsid w:val="00173D9E"/>
    <w:rsid w:val="00173F0D"/>
    <w:rsid w:val="0017434C"/>
    <w:rsid w:val="00174D9C"/>
    <w:rsid w:val="001751E6"/>
    <w:rsid w:val="00175C2E"/>
    <w:rsid w:val="001760B6"/>
    <w:rsid w:val="0017643F"/>
    <w:rsid w:val="00176CF9"/>
    <w:rsid w:val="00177138"/>
    <w:rsid w:val="001773AD"/>
    <w:rsid w:val="00177983"/>
    <w:rsid w:val="00180D5D"/>
    <w:rsid w:val="00182371"/>
    <w:rsid w:val="00182E18"/>
    <w:rsid w:val="001830E6"/>
    <w:rsid w:val="001835D5"/>
    <w:rsid w:val="001844C3"/>
    <w:rsid w:val="0018482D"/>
    <w:rsid w:val="00184CC8"/>
    <w:rsid w:val="00184FC2"/>
    <w:rsid w:val="00185E63"/>
    <w:rsid w:val="00187C60"/>
    <w:rsid w:val="00187F81"/>
    <w:rsid w:val="00193821"/>
    <w:rsid w:val="0019485D"/>
    <w:rsid w:val="001949A8"/>
    <w:rsid w:val="001949AB"/>
    <w:rsid w:val="001951B1"/>
    <w:rsid w:val="00197E00"/>
    <w:rsid w:val="001A031A"/>
    <w:rsid w:val="001A0E46"/>
    <w:rsid w:val="001A1437"/>
    <w:rsid w:val="001A1AA6"/>
    <w:rsid w:val="001A2049"/>
    <w:rsid w:val="001A260D"/>
    <w:rsid w:val="001A2B1E"/>
    <w:rsid w:val="001A3572"/>
    <w:rsid w:val="001A3F10"/>
    <w:rsid w:val="001A3F7F"/>
    <w:rsid w:val="001A4E57"/>
    <w:rsid w:val="001A58EF"/>
    <w:rsid w:val="001A5B3D"/>
    <w:rsid w:val="001A5D60"/>
    <w:rsid w:val="001A68AA"/>
    <w:rsid w:val="001A75EA"/>
    <w:rsid w:val="001A76BE"/>
    <w:rsid w:val="001A772C"/>
    <w:rsid w:val="001B18C7"/>
    <w:rsid w:val="001B19B3"/>
    <w:rsid w:val="001B2984"/>
    <w:rsid w:val="001B351D"/>
    <w:rsid w:val="001B4A3D"/>
    <w:rsid w:val="001B6324"/>
    <w:rsid w:val="001B705F"/>
    <w:rsid w:val="001B71EF"/>
    <w:rsid w:val="001B7567"/>
    <w:rsid w:val="001B7CE3"/>
    <w:rsid w:val="001C01BE"/>
    <w:rsid w:val="001C0990"/>
    <w:rsid w:val="001C0AB6"/>
    <w:rsid w:val="001C1B1E"/>
    <w:rsid w:val="001C22A8"/>
    <w:rsid w:val="001C288C"/>
    <w:rsid w:val="001C302C"/>
    <w:rsid w:val="001C305E"/>
    <w:rsid w:val="001C3FB0"/>
    <w:rsid w:val="001C47A1"/>
    <w:rsid w:val="001C553A"/>
    <w:rsid w:val="001C561C"/>
    <w:rsid w:val="001C570E"/>
    <w:rsid w:val="001C5AA2"/>
    <w:rsid w:val="001C66D5"/>
    <w:rsid w:val="001C70E6"/>
    <w:rsid w:val="001C7CED"/>
    <w:rsid w:val="001D00D4"/>
    <w:rsid w:val="001D0433"/>
    <w:rsid w:val="001D066E"/>
    <w:rsid w:val="001D0694"/>
    <w:rsid w:val="001D0908"/>
    <w:rsid w:val="001D10C8"/>
    <w:rsid w:val="001D10D4"/>
    <w:rsid w:val="001D130F"/>
    <w:rsid w:val="001D1912"/>
    <w:rsid w:val="001D1FE6"/>
    <w:rsid w:val="001D2391"/>
    <w:rsid w:val="001D3FF4"/>
    <w:rsid w:val="001D46E4"/>
    <w:rsid w:val="001D68D2"/>
    <w:rsid w:val="001D6AB4"/>
    <w:rsid w:val="001D7A18"/>
    <w:rsid w:val="001D7DE4"/>
    <w:rsid w:val="001D7E4F"/>
    <w:rsid w:val="001E0032"/>
    <w:rsid w:val="001E0B11"/>
    <w:rsid w:val="001E0E01"/>
    <w:rsid w:val="001E11B3"/>
    <w:rsid w:val="001E126B"/>
    <w:rsid w:val="001E257E"/>
    <w:rsid w:val="001E2652"/>
    <w:rsid w:val="001E295F"/>
    <w:rsid w:val="001E330F"/>
    <w:rsid w:val="001E3D1F"/>
    <w:rsid w:val="001E4591"/>
    <w:rsid w:val="001E47FE"/>
    <w:rsid w:val="001E57D5"/>
    <w:rsid w:val="001E5AA4"/>
    <w:rsid w:val="001E5B6B"/>
    <w:rsid w:val="001E66B9"/>
    <w:rsid w:val="001E6751"/>
    <w:rsid w:val="001E6861"/>
    <w:rsid w:val="001E6999"/>
    <w:rsid w:val="001E6BBB"/>
    <w:rsid w:val="001E6D33"/>
    <w:rsid w:val="001E7A16"/>
    <w:rsid w:val="001F0FDD"/>
    <w:rsid w:val="001F122D"/>
    <w:rsid w:val="001F1323"/>
    <w:rsid w:val="001F18EC"/>
    <w:rsid w:val="001F20AE"/>
    <w:rsid w:val="001F3B20"/>
    <w:rsid w:val="001F3B5E"/>
    <w:rsid w:val="001F3CD6"/>
    <w:rsid w:val="001F3DC0"/>
    <w:rsid w:val="001F5494"/>
    <w:rsid w:val="001F61CE"/>
    <w:rsid w:val="001F684E"/>
    <w:rsid w:val="001F78DD"/>
    <w:rsid w:val="002019FC"/>
    <w:rsid w:val="00202013"/>
    <w:rsid w:val="00202512"/>
    <w:rsid w:val="00203C31"/>
    <w:rsid w:val="00203FC7"/>
    <w:rsid w:val="002045EA"/>
    <w:rsid w:val="002055DD"/>
    <w:rsid w:val="00206587"/>
    <w:rsid w:val="00207652"/>
    <w:rsid w:val="002078D4"/>
    <w:rsid w:val="00207E58"/>
    <w:rsid w:val="00210107"/>
    <w:rsid w:val="00211BC2"/>
    <w:rsid w:val="002120D7"/>
    <w:rsid w:val="00212777"/>
    <w:rsid w:val="00212875"/>
    <w:rsid w:val="00212EAA"/>
    <w:rsid w:val="002132D6"/>
    <w:rsid w:val="002147F0"/>
    <w:rsid w:val="002154DF"/>
    <w:rsid w:val="00215BC9"/>
    <w:rsid w:val="00216260"/>
    <w:rsid w:val="002163F2"/>
    <w:rsid w:val="00217B38"/>
    <w:rsid w:val="00217B49"/>
    <w:rsid w:val="00217E81"/>
    <w:rsid w:val="00220D9B"/>
    <w:rsid w:val="00220EA0"/>
    <w:rsid w:val="00220F55"/>
    <w:rsid w:val="00221C3D"/>
    <w:rsid w:val="0022261F"/>
    <w:rsid w:val="002229E4"/>
    <w:rsid w:val="00222AD8"/>
    <w:rsid w:val="00222DDA"/>
    <w:rsid w:val="00224023"/>
    <w:rsid w:val="00224603"/>
    <w:rsid w:val="00224A0A"/>
    <w:rsid w:val="00224DA7"/>
    <w:rsid w:val="00225FA7"/>
    <w:rsid w:val="00226347"/>
    <w:rsid w:val="002307B3"/>
    <w:rsid w:val="00231164"/>
    <w:rsid w:val="002311EC"/>
    <w:rsid w:val="00231211"/>
    <w:rsid w:val="002322A0"/>
    <w:rsid w:val="00233C00"/>
    <w:rsid w:val="00233C18"/>
    <w:rsid w:val="002346DE"/>
    <w:rsid w:val="0023490C"/>
    <w:rsid w:val="002349C8"/>
    <w:rsid w:val="00234C57"/>
    <w:rsid w:val="002352A5"/>
    <w:rsid w:val="00236144"/>
    <w:rsid w:val="002376F1"/>
    <w:rsid w:val="002377AF"/>
    <w:rsid w:val="00237B87"/>
    <w:rsid w:val="002408BA"/>
    <w:rsid w:val="0024148D"/>
    <w:rsid w:val="002415B9"/>
    <w:rsid w:val="002415C7"/>
    <w:rsid w:val="002417C3"/>
    <w:rsid w:val="00242394"/>
    <w:rsid w:val="002429BA"/>
    <w:rsid w:val="002451BF"/>
    <w:rsid w:val="00245DB1"/>
    <w:rsid w:val="00245ECA"/>
    <w:rsid w:val="00246BC5"/>
    <w:rsid w:val="00246DAF"/>
    <w:rsid w:val="00246F39"/>
    <w:rsid w:val="002471F2"/>
    <w:rsid w:val="0024727E"/>
    <w:rsid w:val="00247DD5"/>
    <w:rsid w:val="00247DEC"/>
    <w:rsid w:val="0025199C"/>
    <w:rsid w:val="00251C27"/>
    <w:rsid w:val="00251C4C"/>
    <w:rsid w:val="00252434"/>
    <w:rsid w:val="00252478"/>
    <w:rsid w:val="002529F6"/>
    <w:rsid w:val="00252EE5"/>
    <w:rsid w:val="002539CE"/>
    <w:rsid w:val="002539E7"/>
    <w:rsid w:val="00253AAA"/>
    <w:rsid w:val="0025445E"/>
    <w:rsid w:val="00255DFD"/>
    <w:rsid w:val="00255FF4"/>
    <w:rsid w:val="002561DD"/>
    <w:rsid w:val="00256556"/>
    <w:rsid w:val="00256866"/>
    <w:rsid w:val="002568FD"/>
    <w:rsid w:val="00257361"/>
    <w:rsid w:val="00260EF3"/>
    <w:rsid w:val="00262359"/>
    <w:rsid w:val="00262509"/>
    <w:rsid w:val="002627CE"/>
    <w:rsid w:val="0026290E"/>
    <w:rsid w:val="00262B00"/>
    <w:rsid w:val="00262DC0"/>
    <w:rsid w:val="00262DD8"/>
    <w:rsid w:val="002630A9"/>
    <w:rsid w:val="00263CFC"/>
    <w:rsid w:val="00263FF0"/>
    <w:rsid w:val="00264027"/>
    <w:rsid w:val="0026446B"/>
    <w:rsid w:val="0026457A"/>
    <w:rsid w:val="002645E2"/>
    <w:rsid w:val="0026501B"/>
    <w:rsid w:val="00265717"/>
    <w:rsid w:val="00265BF5"/>
    <w:rsid w:val="00265C30"/>
    <w:rsid w:val="00266BA5"/>
    <w:rsid w:val="002670E2"/>
    <w:rsid w:val="00267609"/>
    <w:rsid w:val="0027029F"/>
    <w:rsid w:val="002705CA"/>
    <w:rsid w:val="00270C42"/>
    <w:rsid w:val="00270D6C"/>
    <w:rsid w:val="00271141"/>
    <w:rsid w:val="00272032"/>
    <w:rsid w:val="002725F6"/>
    <w:rsid w:val="00272A05"/>
    <w:rsid w:val="002735BC"/>
    <w:rsid w:val="00273C75"/>
    <w:rsid w:val="00274907"/>
    <w:rsid w:val="00274CAE"/>
    <w:rsid w:val="00274E8C"/>
    <w:rsid w:val="00275C25"/>
    <w:rsid w:val="00276458"/>
    <w:rsid w:val="002775C5"/>
    <w:rsid w:val="002800A1"/>
    <w:rsid w:val="00281DDD"/>
    <w:rsid w:val="00282DE1"/>
    <w:rsid w:val="00282F34"/>
    <w:rsid w:val="002834FF"/>
    <w:rsid w:val="00283E13"/>
    <w:rsid w:val="002842F4"/>
    <w:rsid w:val="002852B8"/>
    <w:rsid w:val="00285C2D"/>
    <w:rsid w:val="0028685A"/>
    <w:rsid w:val="00287C9D"/>
    <w:rsid w:val="00291164"/>
    <w:rsid w:val="0029157A"/>
    <w:rsid w:val="00291D57"/>
    <w:rsid w:val="00292615"/>
    <w:rsid w:val="0029273F"/>
    <w:rsid w:val="00292DAF"/>
    <w:rsid w:val="0029335D"/>
    <w:rsid w:val="00294162"/>
    <w:rsid w:val="00294773"/>
    <w:rsid w:val="0029567A"/>
    <w:rsid w:val="00295BB8"/>
    <w:rsid w:val="00296C34"/>
    <w:rsid w:val="00297579"/>
    <w:rsid w:val="00297697"/>
    <w:rsid w:val="002A0082"/>
    <w:rsid w:val="002A00EE"/>
    <w:rsid w:val="002A0B51"/>
    <w:rsid w:val="002A13AB"/>
    <w:rsid w:val="002A1411"/>
    <w:rsid w:val="002A1531"/>
    <w:rsid w:val="002A1C19"/>
    <w:rsid w:val="002A279A"/>
    <w:rsid w:val="002A2E5D"/>
    <w:rsid w:val="002A2F04"/>
    <w:rsid w:val="002A3999"/>
    <w:rsid w:val="002A415D"/>
    <w:rsid w:val="002A587C"/>
    <w:rsid w:val="002A5972"/>
    <w:rsid w:val="002A5C12"/>
    <w:rsid w:val="002A6392"/>
    <w:rsid w:val="002A6B0A"/>
    <w:rsid w:val="002A7577"/>
    <w:rsid w:val="002A790C"/>
    <w:rsid w:val="002A7AD4"/>
    <w:rsid w:val="002A7FA3"/>
    <w:rsid w:val="002A7FF8"/>
    <w:rsid w:val="002B0BF6"/>
    <w:rsid w:val="002B22B3"/>
    <w:rsid w:val="002B249E"/>
    <w:rsid w:val="002B2A0F"/>
    <w:rsid w:val="002B2BB8"/>
    <w:rsid w:val="002B2F65"/>
    <w:rsid w:val="002B2F91"/>
    <w:rsid w:val="002B35A4"/>
    <w:rsid w:val="002B3C90"/>
    <w:rsid w:val="002B3E59"/>
    <w:rsid w:val="002B4399"/>
    <w:rsid w:val="002B5653"/>
    <w:rsid w:val="002B5788"/>
    <w:rsid w:val="002B58EC"/>
    <w:rsid w:val="002B5B67"/>
    <w:rsid w:val="002B6659"/>
    <w:rsid w:val="002B6E06"/>
    <w:rsid w:val="002B6EDD"/>
    <w:rsid w:val="002B734A"/>
    <w:rsid w:val="002B74C3"/>
    <w:rsid w:val="002C0B2A"/>
    <w:rsid w:val="002C0C7B"/>
    <w:rsid w:val="002C112B"/>
    <w:rsid w:val="002C15F0"/>
    <w:rsid w:val="002C1739"/>
    <w:rsid w:val="002C1B5D"/>
    <w:rsid w:val="002C2DBF"/>
    <w:rsid w:val="002C3DA2"/>
    <w:rsid w:val="002C4052"/>
    <w:rsid w:val="002C44D8"/>
    <w:rsid w:val="002C4D55"/>
    <w:rsid w:val="002C4FA8"/>
    <w:rsid w:val="002C5034"/>
    <w:rsid w:val="002C5073"/>
    <w:rsid w:val="002C52C0"/>
    <w:rsid w:val="002C5812"/>
    <w:rsid w:val="002C5AB4"/>
    <w:rsid w:val="002C5CC2"/>
    <w:rsid w:val="002C627A"/>
    <w:rsid w:val="002C63AB"/>
    <w:rsid w:val="002C63E7"/>
    <w:rsid w:val="002C6CC9"/>
    <w:rsid w:val="002D0911"/>
    <w:rsid w:val="002D15D8"/>
    <w:rsid w:val="002D2455"/>
    <w:rsid w:val="002D2E6E"/>
    <w:rsid w:val="002D3603"/>
    <w:rsid w:val="002D3696"/>
    <w:rsid w:val="002D3BA9"/>
    <w:rsid w:val="002D3D1C"/>
    <w:rsid w:val="002D3E24"/>
    <w:rsid w:val="002D4279"/>
    <w:rsid w:val="002D43A0"/>
    <w:rsid w:val="002D5CB2"/>
    <w:rsid w:val="002D5EA8"/>
    <w:rsid w:val="002D6237"/>
    <w:rsid w:val="002D68AE"/>
    <w:rsid w:val="002D72EE"/>
    <w:rsid w:val="002E051A"/>
    <w:rsid w:val="002E07CC"/>
    <w:rsid w:val="002E09A2"/>
    <w:rsid w:val="002E09A6"/>
    <w:rsid w:val="002E0C8A"/>
    <w:rsid w:val="002E0D4C"/>
    <w:rsid w:val="002E0DB6"/>
    <w:rsid w:val="002E11F0"/>
    <w:rsid w:val="002E1909"/>
    <w:rsid w:val="002E1975"/>
    <w:rsid w:val="002E1DE6"/>
    <w:rsid w:val="002E1FAB"/>
    <w:rsid w:val="002E2137"/>
    <w:rsid w:val="002E29DA"/>
    <w:rsid w:val="002E2BF2"/>
    <w:rsid w:val="002E2F7B"/>
    <w:rsid w:val="002E3355"/>
    <w:rsid w:val="002E3375"/>
    <w:rsid w:val="002E3840"/>
    <w:rsid w:val="002E396F"/>
    <w:rsid w:val="002E42B9"/>
    <w:rsid w:val="002E478C"/>
    <w:rsid w:val="002E4AE2"/>
    <w:rsid w:val="002E4BCE"/>
    <w:rsid w:val="002E54DA"/>
    <w:rsid w:val="002E64C5"/>
    <w:rsid w:val="002E651B"/>
    <w:rsid w:val="002E6D25"/>
    <w:rsid w:val="002E6FDF"/>
    <w:rsid w:val="002E7384"/>
    <w:rsid w:val="002E7DD5"/>
    <w:rsid w:val="002F16BC"/>
    <w:rsid w:val="002F23E9"/>
    <w:rsid w:val="002F298E"/>
    <w:rsid w:val="002F330B"/>
    <w:rsid w:val="002F36D5"/>
    <w:rsid w:val="002F386E"/>
    <w:rsid w:val="002F3F35"/>
    <w:rsid w:val="002F4D2F"/>
    <w:rsid w:val="002F51BD"/>
    <w:rsid w:val="002F527A"/>
    <w:rsid w:val="002F548A"/>
    <w:rsid w:val="002F567E"/>
    <w:rsid w:val="002F585C"/>
    <w:rsid w:val="002F59A8"/>
    <w:rsid w:val="002F644E"/>
    <w:rsid w:val="002F66AB"/>
    <w:rsid w:val="003008D5"/>
    <w:rsid w:val="00301950"/>
    <w:rsid w:val="00301AFF"/>
    <w:rsid w:val="00302E2A"/>
    <w:rsid w:val="003042EE"/>
    <w:rsid w:val="003047CB"/>
    <w:rsid w:val="00305BBF"/>
    <w:rsid w:val="00306968"/>
    <w:rsid w:val="00307365"/>
    <w:rsid w:val="00307972"/>
    <w:rsid w:val="0031134B"/>
    <w:rsid w:val="003123B5"/>
    <w:rsid w:val="00313036"/>
    <w:rsid w:val="003136FA"/>
    <w:rsid w:val="00313834"/>
    <w:rsid w:val="00313890"/>
    <w:rsid w:val="00313AD3"/>
    <w:rsid w:val="00313DD5"/>
    <w:rsid w:val="0031431A"/>
    <w:rsid w:val="00314C1D"/>
    <w:rsid w:val="00314D25"/>
    <w:rsid w:val="003155D2"/>
    <w:rsid w:val="00317CF1"/>
    <w:rsid w:val="00317E20"/>
    <w:rsid w:val="003200CA"/>
    <w:rsid w:val="00320321"/>
    <w:rsid w:val="0032074A"/>
    <w:rsid w:val="00320832"/>
    <w:rsid w:val="0032255A"/>
    <w:rsid w:val="00322879"/>
    <w:rsid w:val="003228BE"/>
    <w:rsid w:val="003232FF"/>
    <w:rsid w:val="003233AE"/>
    <w:rsid w:val="00323578"/>
    <w:rsid w:val="00324BB6"/>
    <w:rsid w:val="00324C1D"/>
    <w:rsid w:val="00324CDB"/>
    <w:rsid w:val="003255E7"/>
    <w:rsid w:val="0032597C"/>
    <w:rsid w:val="00325A25"/>
    <w:rsid w:val="003270B4"/>
    <w:rsid w:val="00327784"/>
    <w:rsid w:val="003306A6"/>
    <w:rsid w:val="00330919"/>
    <w:rsid w:val="00330BDC"/>
    <w:rsid w:val="003311AF"/>
    <w:rsid w:val="00331732"/>
    <w:rsid w:val="00331EC2"/>
    <w:rsid w:val="00332582"/>
    <w:rsid w:val="00333822"/>
    <w:rsid w:val="00333A8B"/>
    <w:rsid w:val="00336109"/>
    <w:rsid w:val="003365C2"/>
    <w:rsid w:val="00336621"/>
    <w:rsid w:val="00336B5E"/>
    <w:rsid w:val="00336E22"/>
    <w:rsid w:val="00336FAF"/>
    <w:rsid w:val="003403E3"/>
    <w:rsid w:val="00340A61"/>
    <w:rsid w:val="00340D8A"/>
    <w:rsid w:val="003415A4"/>
    <w:rsid w:val="00341871"/>
    <w:rsid w:val="003420E7"/>
    <w:rsid w:val="00342212"/>
    <w:rsid w:val="0034258B"/>
    <w:rsid w:val="00343118"/>
    <w:rsid w:val="00343A71"/>
    <w:rsid w:val="00344351"/>
    <w:rsid w:val="00344EF8"/>
    <w:rsid w:val="0034532B"/>
    <w:rsid w:val="0034577E"/>
    <w:rsid w:val="00345B69"/>
    <w:rsid w:val="00345C44"/>
    <w:rsid w:val="00345D04"/>
    <w:rsid w:val="00347484"/>
    <w:rsid w:val="003505C3"/>
    <w:rsid w:val="003525F6"/>
    <w:rsid w:val="00352A8E"/>
    <w:rsid w:val="00352F8A"/>
    <w:rsid w:val="00353BC6"/>
    <w:rsid w:val="00354400"/>
    <w:rsid w:val="003544E7"/>
    <w:rsid w:val="00354808"/>
    <w:rsid w:val="00354CE4"/>
    <w:rsid w:val="0035598A"/>
    <w:rsid w:val="00356370"/>
    <w:rsid w:val="003602F3"/>
    <w:rsid w:val="00360374"/>
    <w:rsid w:val="0036054F"/>
    <w:rsid w:val="0036089F"/>
    <w:rsid w:val="003608A9"/>
    <w:rsid w:val="00360E31"/>
    <w:rsid w:val="00362308"/>
    <w:rsid w:val="00362951"/>
    <w:rsid w:val="00364493"/>
    <w:rsid w:val="00364518"/>
    <w:rsid w:val="00364F90"/>
    <w:rsid w:val="00365A62"/>
    <w:rsid w:val="00365ECC"/>
    <w:rsid w:val="00366579"/>
    <w:rsid w:val="00366A4C"/>
    <w:rsid w:val="00366AC0"/>
    <w:rsid w:val="00366CD0"/>
    <w:rsid w:val="00366FF2"/>
    <w:rsid w:val="003708B7"/>
    <w:rsid w:val="00370A42"/>
    <w:rsid w:val="00370C6A"/>
    <w:rsid w:val="00370F5C"/>
    <w:rsid w:val="003716BF"/>
    <w:rsid w:val="00371EF4"/>
    <w:rsid w:val="00372334"/>
    <w:rsid w:val="00372763"/>
    <w:rsid w:val="00372856"/>
    <w:rsid w:val="00373421"/>
    <w:rsid w:val="0037382D"/>
    <w:rsid w:val="003740D5"/>
    <w:rsid w:val="00374412"/>
    <w:rsid w:val="00375E35"/>
    <w:rsid w:val="00375F27"/>
    <w:rsid w:val="0037684C"/>
    <w:rsid w:val="00376C76"/>
    <w:rsid w:val="00377076"/>
    <w:rsid w:val="003775D3"/>
    <w:rsid w:val="00377602"/>
    <w:rsid w:val="003777BE"/>
    <w:rsid w:val="00377DE0"/>
    <w:rsid w:val="003803B2"/>
    <w:rsid w:val="00380613"/>
    <w:rsid w:val="00380764"/>
    <w:rsid w:val="00381DD2"/>
    <w:rsid w:val="00382639"/>
    <w:rsid w:val="0038283D"/>
    <w:rsid w:val="00382841"/>
    <w:rsid w:val="003829F0"/>
    <w:rsid w:val="00382CDA"/>
    <w:rsid w:val="00382E0F"/>
    <w:rsid w:val="00383492"/>
    <w:rsid w:val="00383985"/>
    <w:rsid w:val="00384027"/>
    <w:rsid w:val="003843EF"/>
    <w:rsid w:val="00384C32"/>
    <w:rsid w:val="003854E2"/>
    <w:rsid w:val="0038577F"/>
    <w:rsid w:val="00385C88"/>
    <w:rsid w:val="00385CE8"/>
    <w:rsid w:val="00385DCC"/>
    <w:rsid w:val="003867C3"/>
    <w:rsid w:val="00386B97"/>
    <w:rsid w:val="00387F23"/>
    <w:rsid w:val="003905B4"/>
    <w:rsid w:val="0039085A"/>
    <w:rsid w:val="003913BB"/>
    <w:rsid w:val="0039216F"/>
    <w:rsid w:val="003930E0"/>
    <w:rsid w:val="0039315A"/>
    <w:rsid w:val="00393540"/>
    <w:rsid w:val="00393C61"/>
    <w:rsid w:val="0039455C"/>
    <w:rsid w:val="00394704"/>
    <w:rsid w:val="00395651"/>
    <w:rsid w:val="003956E7"/>
    <w:rsid w:val="003957D9"/>
    <w:rsid w:val="003958C6"/>
    <w:rsid w:val="0039692C"/>
    <w:rsid w:val="00397EC6"/>
    <w:rsid w:val="003A0750"/>
    <w:rsid w:val="003A082E"/>
    <w:rsid w:val="003A1031"/>
    <w:rsid w:val="003A1997"/>
    <w:rsid w:val="003A1BD1"/>
    <w:rsid w:val="003A1E95"/>
    <w:rsid w:val="003A22FA"/>
    <w:rsid w:val="003A2530"/>
    <w:rsid w:val="003A426C"/>
    <w:rsid w:val="003A4442"/>
    <w:rsid w:val="003A512E"/>
    <w:rsid w:val="003A5144"/>
    <w:rsid w:val="003A562F"/>
    <w:rsid w:val="003A5A41"/>
    <w:rsid w:val="003A64FD"/>
    <w:rsid w:val="003B07E9"/>
    <w:rsid w:val="003B0DD4"/>
    <w:rsid w:val="003B0EA5"/>
    <w:rsid w:val="003B1308"/>
    <w:rsid w:val="003B133F"/>
    <w:rsid w:val="003B169C"/>
    <w:rsid w:val="003B18F7"/>
    <w:rsid w:val="003B1FF2"/>
    <w:rsid w:val="003B278F"/>
    <w:rsid w:val="003B2FF0"/>
    <w:rsid w:val="003B3081"/>
    <w:rsid w:val="003B3910"/>
    <w:rsid w:val="003B4379"/>
    <w:rsid w:val="003B529D"/>
    <w:rsid w:val="003B5E78"/>
    <w:rsid w:val="003B60B9"/>
    <w:rsid w:val="003B61DB"/>
    <w:rsid w:val="003B74A1"/>
    <w:rsid w:val="003B7A53"/>
    <w:rsid w:val="003C04DE"/>
    <w:rsid w:val="003C05AF"/>
    <w:rsid w:val="003C0D31"/>
    <w:rsid w:val="003C25EB"/>
    <w:rsid w:val="003C2752"/>
    <w:rsid w:val="003C2C1E"/>
    <w:rsid w:val="003C2CD2"/>
    <w:rsid w:val="003C2D82"/>
    <w:rsid w:val="003C34ED"/>
    <w:rsid w:val="003C3CED"/>
    <w:rsid w:val="003C3F7D"/>
    <w:rsid w:val="003C511E"/>
    <w:rsid w:val="003C550E"/>
    <w:rsid w:val="003C56F5"/>
    <w:rsid w:val="003C5BB0"/>
    <w:rsid w:val="003C63D2"/>
    <w:rsid w:val="003C6473"/>
    <w:rsid w:val="003C678E"/>
    <w:rsid w:val="003C685E"/>
    <w:rsid w:val="003D0632"/>
    <w:rsid w:val="003D0AF4"/>
    <w:rsid w:val="003D16B7"/>
    <w:rsid w:val="003D1872"/>
    <w:rsid w:val="003D2C9B"/>
    <w:rsid w:val="003D32A9"/>
    <w:rsid w:val="003D3DE1"/>
    <w:rsid w:val="003D458A"/>
    <w:rsid w:val="003D49BD"/>
    <w:rsid w:val="003D515A"/>
    <w:rsid w:val="003D591E"/>
    <w:rsid w:val="003D5E37"/>
    <w:rsid w:val="003D770E"/>
    <w:rsid w:val="003D7B62"/>
    <w:rsid w:val="003E2709"/>
    <w:rsid w:val="003E2814"/>
    <w:rsid w:val="003E3AC6"/>
    <w:rsid w:val="003E3E38"/>
    <w:rsid w:val="003E4184"/>
    <w:rsid w:val="003E4320"/>
    <w:rsid w:val="003E4436"/>
    <w:rsid w:val="003E4812"/>
    <w:rsid w:val="003E48A1"/>
    <w:rsid w:val="003E55A7"/>
    <w:rsid w:val="003E563A"/>
    <w:rsid w:val="003E6A56"/>
    <w:rsid w:val="003E6DAD"/>
    <w:rsid w:val="003E6F0B"/>
    <w:rsid w:val="003E71E9"/>
    <w:rsid w:val="003E7E65"/>
    <w:rsid w:val="003F092B"/>
    <w:rsid w:val="003F143F"/>
    <w:rsid w:val="003F1FEA"/>
    <w:rsid w:val="003F3F4F"/>
    <w:rsid w:val="003F4741"/>
    <w:rsid w:val="003F4AB3"/>
    <w:rsid w:val="003F5E60"/>
    <w:rsid w:val="003F68E5"/>
    <w:rsid w:val="003F6DC3"/>
    <w:rsid w:val="003F6FD0"/>
    <w:rsid w:val="003F713F"/>
    <w:rsid w:val="003F7246"/>
    <w:rsid w:val="003F7493"/>
    <w:rsid w:val="003F7B1C"/>
    <w:rsid w:val="004002F7"/>
    <w:rsid w:val="0040073A"/>
    <w:rsid w:val="00400A43"/>
    <w:rsid w:val="00400FAF"/>
    <w:rsid w:val="004011E1"/>
    <w:rsid w:val="004013D2"/>
    <w:rsid w:val="00401484"/>
    <w:rsid w:val="004023F9"/>
    <w:rsid w:val="004036E4"/>
    <w:rsid w:val="0040391B"/>
    <w:rsid w:val="004045B1"/>
    <w:rsid w:val="004048E5"/>
    <w:rsid w:val="00404EF8"/>
    <w:rsid w:val="00406863"/>
    <w:rsid w:val="00407063"/>
    <w:rsid w:val="004078BC"/>
    <w:rsid w:val="00407CA4"/>
    <w:rsid w:val="004109E9"/>
    <w:rsid w:val="00410CC9"/>
    <w:rsid w:val="00410E2F"/>
    <w:rsid w:val="00410EFB"/>
    <w:rsid w:val="0041100E"/>
    <w:rsid w:val="00411960"/>
    <w:rsid w:val="00412B3D"/>
    <w:rsid w:val="00413169"/>
    <w:rsid w:val="00413209"/>
    <w:rsid w:val="00414A44"/>
    <w:rsid w:val="004151A2"/>
    <w:rsid w:val="004152C8"/>
    <w:rsid w:val="00416835"/>
    <w:rsid w:val="00417C61"/>
    <w:rsid w:val="00417E57"/>
    <w:rsid w:val="00420585"/>
    <w:rsid w:val="00420B03"/>
    <w:rsid w:val="00420C6A"/>
    <w:rsid w:val="00421209"/>
    <w:rsid w:val="0042121A"/>
    <w:rsid w:val="004220EA"/>
    <w:rsid w:val="00422316"/>
    <w:rsid w:val="00422704"/>
    <w:rsid w:val="00422A99"/>
    <w:rsid w:val="00422FF5"/>
    <w:rsid w:val="0042341E"/>
    <w:rsid w:val="00423694"/>
    <w:rsid w:val="00423B31"/>
    <w:rsid w:val="004247CA"/>
    <w:rsid w:val="00424ECE"/>
    <w:rsid w:val="00425233"/>
    <w:rsid w:val="0042537D"/>
    <w:rsid w:val="00425FA3"/>
    <w:rsid w:val="00426875"/>
    <w:rsid w:val="00426C07"/>
    <w:rsid w:val="00426D40"/>
    <w:rsid w:val="00426EA2"/>
    <w:rsid w:val="00426EA9"/>
    <w:rsid w:val="004272D4"/>
    <w:rsid w:val="00427A56"/>
    <w:rsid w:val="00427F19"/>
    <w:rsid w:val="00431EDB"/>
    <w:rsid w:val="004325EE"/>
    <w:rsid w:val="00432A52"/>
    <w:rsid w:val="004333C9"/>
    <w:rsid w:val="00433533"/>
    <w:rsid w:val="00433987"/>
    <w:rsid w:val="00434026"/>
    <w:rsid w:val="004343D7"/>
    <w:rsid w:val="0043452E"/>
    <w:rsid w:val="00434DD4"/>
    <w:rsid w:val="00435587"/>
    <w:rsid w:val="0043640E"/>
    <w:rsid w:val="004372EA"/>
    <w:rsid w:val="0043756E"/>
    <w:rsid w:val="004379A3"/>
    <w:rsid w:val="00440995"/>
    <w:rsid w:val="0044109A"/>
    <w:rsid w:val="004411E8"/>
    <w:rsid w:val="00441531"/>
    <w:rsid w:val="004425A0"/>
    <w:rsid w:val="004425DD"/>
    <w:rsid w:val="004426B0"/>
    <w:rsid w:val="00443483"/>
    <w:rsid w:val="0044403A"/>
    <w:rsid w:val="00444082"/>
    <w:rsid w:val="00444219"/>
    <w:rsid w:val="0044445C"/>
    <w:rsid w:val="00444933"/>
    <w:rsid w:val="00444CBF"/>
    <w:rsid w:val="00445663"/>
    <w:rsid w:val="004459BA"/>
    <w:rsid w:val="00445A83"/>
    <w:rsid w:val="0044620C"/>
    <w:rsid w:val="004465FD"/>
    <w:rsid w:val="0044676A"/>
    <w:rsid w:val="00446DD5"/>
    <w:rsid w:val="0044790A"/>
    <w:rsid w:val="00447E10"/>
    <w:rsid w:val="00450904"/>
    <w:rsid w:val="00450BCE"/>
    <w:rsid w:val="00450CD2"/>
    <w:rsid w:val="00451901"/>
    <w:rsid w:val="00451C36"/>
    <w:rsid w:val="00452EB7"/>
    <w:rsid w:val="00453550"/>
    <w:rsid w:val="004535E4"/>
    <w:rsid w:val="004536E4"/>
    <w:rsid w:val="00453850"/>
    <w:rsid w:val="00453A71"/>
    <w:rsid w:val="00453B70"/>
    <w:rsid w:val="0045434D"/>
    <w:rsid w:val="0045454C"/>
    <w:rsid w:val="00454612"/>
    <w:rsid w:val="00454709"/>
    <w:rsid w:val="00454B48"/>
    <w:rsid w:val="004563AA"/>
    <w:rsid w:val="00457F83"/>
    <w:rsid w:val="00460A2F"/>
    <w:rsid w:val="00461561"/>
    <w:rsid w:val="00462894"/>
    <w:rsid w:val="004628B8"/>
    <w:rsid w:val="00462DD7"/>
    <w:rsid w:val="0046448D"/>
    <w:rsid w:val="00465148"/>
    <w:rsid w:val="004652D7"/>
    <w:rsid w:val="004660C9"/>
    <w:rsid w:val="00467565"/>
    <w:rsid w:val="0047033C"/>
    <w:rsid w:val="00470645"/>
    <w:rsid w:val="00470D38"/>
    <w:rsid w:val="0047151F"/>
    <w:rsid w:val="00472441"/>
    <w:rsid w:val="00472C08"/>
    <w:rsid w:val="00472F92"/>
    <w:rsid w:val="00473757"/>
    <w:rsid w:val="00473C49"/>
    <w:rsid w:val="00473E63"/>
    <w:rsid w:val="00474562"/>
    <w:rsid w:val="00474FCC"/>
    <w:rsid w:val="0047515C"/>
    <w:rsid w:val="004761B6"/>
    <w:rsid w:val="00476AF9"/>
    <w:rsid w:val="004770BE"/>
    <w:rsid w:val="004818D6"/>
    <w:rsid w:val="004823F8"/>
    <w:rsid w:val="00483A62"/>
    <w:rsid w:val="00483EB6"/>
    <w:rsid w:val="00483ED1"/>
    <w:rsid w:val="0048461B"/>
    <w:rsid w:val="0048562B"/>
    <w:rsid w:val="00485BB0"/>
    <w:rsid w:val="004860E8"/>
    <w:rsid w:val="00486BE5"/>
    <w:rsid w:val="0048723B"/>
    <w:rsid w:val="004873EA"/>
    <w:rsid w:val="00487876"/>
    <w:rsid w:val="00487B8A"/>
    <w:rsid w:val="00490010"/>
    <w:rsid w:val="004901C5"/>
    <w:rsid w:val="00490B7A"/>
    <w:rsid w:val="00490B83"/>
    <w:rsid w:val="00490CFA"/>
    <w:rsid w:val="004912D0"/>
    <w:rsid w:val="00491AAD"/>
    <w:rsid w:val="00492018"/>
    <w:rsid w:val="004928B7"/>
    <w:rsid w:val="00492995"/>
    <w:rsid w:val="00492A98"/>
    <w:rsid w:val="00493BE9"/>
    <w:rsid w:val="00493E00"/>
    <w:rsid w:val="00493F10"/>
    <w:rsid w:val="00494C2F"/>
    <w:rsid w:val="00494FF0"/>
    <w:rsid w:val="00495459"/>
    <w:rsid w:val="00495949"/>
    <w:rsid w:val="00496DC6"/>
    <w:rsid w:val="004978C4"/>
    <w:rsid w:val="00497967"/>
    <w:rsid w:val="004A0C92"/>
    <w:rsid w:val="004A0D15"/>
    <w:rsid w:val="004A1262"/>
    <w:rsid w:val="004A1A22"/>
    <w:rsid w:val="004A1D29"/>
    <w:rsid w:val="004A2033"/>
    <w:rsid w:val="004A2A02"/>
    <w:rsid w:val="004A2B8E"/>
    <w:rsid w:val="004A2BE3"/>
    <w:rsid w:val="004A3107"/>
    <w:rsid w:val="004A36EF"/>
    <w:rsid w:val="004A4912"/>
    <w:rsid w:val="004A4C84"/>
    <w:rsid w:val="004A529A"/>
    <w:rsid w:val="004A5777"/>
    <w:rsid w:val="004A5E43"/>
    <w:rsid w:val="004A6962"/>
    <w:rsid w:val="004A78A3"/>
    <w:rsid w:val="004B17EB"/>
    <w:rsid w:val="004B1890"/>
    <w:rsid w:val="004B1FFF"/>
    <w:rsid w:val="004B287D"/>
    <w:rsid w:val="004B2E9F"/>
    <w:rsid w:val="004B394D"/>
    <w:rsid w:val="004B4099"/>
    <w:rsid w:val="004B46C2"/>
    <w:rsid w:val="004B4827"/>
    <w:rsid w:val="004B4A55"/>
    <w:rsid w:val="004B4C80"/>
    <w:rsid w:val="004B56E2"/>
    <w:rsid w:val="004B5C0A"/>
    <w:rsid w:val="004B5CC0"/>
    <w:rsid w:val="004B64AB"/>
    <w:rsid w:val="004B6D9E"/>
    <w:rsid w:val="004B7022"/>
    <w:rsid w:val="004B7447"/>
    <w:rsid w:val="004B78AA"/>
    <w:rsid w:val="004C0673"/>
    <w:rsid w:val="004C0F5A"/>
    <w:rsid w:val="004C128A"/>
    <w:rsid w:val="004C1B4D"/>
    <w:rsid w:val="004C35F7"/>
    <w:rsid w:val="004C3A5D"/>
    <w:rsid w:val="004C4600"/>
    <w:rsid w:val="004C4DAD"/>
    <w:rsid w:val="004C4EAD"/>
    <w:rsid w:val="004C5349"/>
    <w:rsid w:val="004C5A0B"/>
    <w:rsid w:val="004C5CDB"/>
    <w:rsid w:val="004C6EDF"/>
    <w:rsid w:val="004C733F"/>
    <w:rsid w:val="004D073C"/>
    <w:rsid w:val="004D101F"/>
    <w:rsid w:val="004D150F"/>
    <w:rsid w:val="004D1579"/>
    <w:rsid w:val="004D1AC4"/>
    <w:rsid w:val="004D325C"/>
    <w:rsid w:val="004D337C"/>
    <w:rsid w:val="004D356D"/>
    <w:rsid w:val="004D3AC5"/>
    <w:rsid w:val="004D514E"/>
    <w:rsid w:val="004D519E"/>
    <w:rsid w:val="004D5259"/>
    <w:rsid w:val="004D6859"/>
    <w:rsid w:val="004D68F2"/>
    <w:rsid w:val="004D712F"/>
    <w:rsid w:val="004D7200"/>
    <w:rsid w:val="004E073E"/>
    <w:rsid w:val="004E1F88"/>
    <w:rsid w:val="004E2247"/>
    <w:rsid w:val="004E30DA"/>
    <w:rsid w:val="004E36DE"/>
    <w:rsid w:val="004E38CC"/>
    <w:rsid w:val="004E3A54"/>
    <w:rsid w:val="004E3D03"/>
    <w:rsid w:val="004E3EA4"/>
    <w:rsid w:val="004E421D"/>
    <w:rsid w:val="004E46BF"/>
    <w:rsid w:val="004E5A1B"/>
    <w:rsid w:val="004E5ED7"/>
    <w:rsid w:val="004E6846"/>
    <w:rsid w:val="004E6AA0"/>
    <w:rsid w:val="004E6CEF"/>
    <w:rsid w:val="004E7304"/>
    <w:rsid w:val="004E7608"/>
    <w:rsid w:val="004F0E25"/>
    <w:rsid w:val="004F1602"/>
    <w:rsid w:val="004F1742"/>
    <w:rsid w:val="004F1C7D"/>
    <w:rsid w:val="004F2191"/>
    <w:rsid w:val="004F21DD"/>
    <w:rsid w:val="004F3359"/>
    <w:rsid w:val="004F428B"/>
    <w:rsid w:val="004F4D37"/>
    <w:rsid w:val="004F5773"/>
    <w:rsid w:val="004F5892"/>
    <w:rsid w:val="004F6C46"/>
    <w:rsid w:val="004F7492"/>
    <w:rsid w:val="004F74EA"/>
    <w:rsid w:val="004F7837"/>
    <w:rsid w:val="004F7892"/>
    <w:rsid w:val="005001D0"/>
    <w:rsid w:val="00500A3B"/>
    <w:rsid w:val="00501E05"/>
    <w:rsid w:val="00501EFB"/>
    <w:rsid w:val="00502BED"/>
    <w:rsid w:val="00502D5F"/>
    <w:rsid w:val="00503F64"/>
    <w:rsid w:val="0050431C"/>
    <w:rsid w:val="005049BC"/>
    <w:rsid w:val="00504DAF"/>
    <w:rsid w:val="00505217"/>
    <w:rsid w:val="00505465"/>
    <w:rsid w:val="0050629D"/>
    <w:rsid w:val="0050707F"/>
    <w:rsid w:val="00507B73"/>
    <w:rsid w:val="00510689"/>
    <w:rsid w:val="00510F62"/>
    <w:rsid w:val="00511C4D"/>
    <w:rsid w:val="00511C9C"/>
    <w:rsid w:val="00511E41"/>
    <w:rsid w:val="00512011"/>
    <w:rsid w:val="00512A4A"/>
    <w:rsid w:val="005136D2"/>
    <w:rsid w:val="005140DB"/>
    <w:rsid w:val="005143C8"/>
    <w:rsid w:val="005147BA"/>
    <w:rsid w:val="005148DF"/>
    <w:rsid w:val="005154F7"/>
    <w:rsid w:val="005155A9"/>
    <w:rsid w:val="005156B6"/>
    <w:rsid w:val="00515BD4"/>
    <w:rsid w:val="00515C12"/>
    <w:rsid w:val="00515D07"/>
    <w:rsid w:val="00517BF7"/>
    <w:rsid w:val="00522E4F"/>
    <w:rsid w:val="0052362B"/>
    <w:rsid w:val="005237CF"/>
    <w:rsid w:val="005243DC"/>
    <w:rsid w:val="0052471B"/>
    <w:rsid w:val="00525436"/>
    <w:rsid w:val="0052568E"/>
    <w:rsid w:val="0052573D"/>
    <w:rsid w:val="005268DE"/>
    <w:rsid w:val="00527402"/>
    <w:rsid w:val="00527D5E"/>
    <w:rsid w:val="0053037B"/>
    <w:rsid w:val="00530A20"/>
    <w:rsid w:val="00530E6C"/>
    <w:rsid w:val="00531071"/>
    <w:rsid w:val="005310E7"/>
    <w:rsid w:val="00531663"/>
    <w:rsid w:val="005316DC"/>
    <w:rsid w:val="00531A71"/>
    <w:rsid w:val="005326BF"/>
    <w:rsid w:val="00532E80"/>
    <w:rsid w:val="00532EBC"/>
    <w:rsid w:val="005333AC"/>
    <w:rsid w:val="00534330"/>
    <w:rsid w:val="005344C3"/>
    <w:rsid w:val="00535421"/>
    <w:rsid w:val="00536720"/>
    <w:rsid w:val="00536AE5"/>
    <w:rsid w:val="00537828"/>
    <w:rsid w:val="00540412"/>
    <w:rsid w:val="00540F83"/>
    <w:rsid w:val="00541052"/>
    <w:rsid w:val="00541AA8"/>
    <w:rsid w:val="00542090"/>
    <w:rsid w:val="005428ED"/>
    <w:rsid w:val="00542A11"/>
    <w:rsid w:val="00542A18"/>
    <w:rsid w:val="005430C6"/>
    <w:rsid w:val="0054478C"/>
    <w:rsid w:val="00545496"/>
    <w:rsid w:val="0054581A"/>
    <w:rsid w:val="005458C6"/>
    <w:rsid w:val="005464F0"/>
    <w:rsid w:val="00547287"/>
    <w:rsid w:val="005510C9"/>
    <w:rsid w:val="00551297"/>
    <w:rsid w:val="00551674"/>
    <w:rsid w:val="00552253"/>
    <w:rsid w:val="005522A0"/>
    <w:rsid w:val="00553582"/>
    <w:rsid w:val="00553BE6"/>
    <w:rsid w:val="005543DF"/>
    <w:rsid w:val="005553BE"/>
    <w:rsid w:val="00557218"/>
    <w:rsid w:val="00557320"/>
    <w:rsid w:val="00557998"/>
    <w:rsid w:val="0056007C"/>
    <w:rsid w:val="005602B5"/>
    <w:rsid w:val="005605DA"/>
    <w:rsid w:val="005612E6"/>
    <w:rsid w:val="00561BA1"/>
    <w:rsid w:val="0056273E"/>
    <w:rsid w:val="005629B2"/>
    <w:rsid w:val="00562FA8"/>
    <w:rsid w:val="00563AC6"/>
    <w:rsid w:val="00563C02"/>
    <w:rsid w:val="00564D4F"/>
    <w:rsid w:val="00564FBE"/>
    <w:rsid w:val="005650B8"/>
    <w:rsid w:val="005654D5"/>
    <w:rsid w:val="00565F99"/>
    <w:rsid w:val="00566105"/>
    <w:rsid w:val="00567BE4"/>
    <w:rsid w:val="00567F08"/>
    <w:rsid w:val="00570A17"/>
    <w:rsid w:val="0057166F"/>
    <w:rsid w:val="005716D0"/>
    <w:rsid w:val="00571778"/>
    <w:rsid w:val="00572225"/>
    <w:rsid w:val="00572514"/>
    <w:rsid w:val="0057364B"/>
    <w:rsid w:val="0057365D"/>
    <w:rsid w:val="00573A08"/>
    <w:rsid w:val="005744C4"/>
    <w:rsid w:val="0057487E"/>
    <w:rsid w:val="005751DA"/>
    <w:rsid w:val="00575C44"/>
    <w:rsid w:val="00575D11"/>
    <w:rsid w:val="005760C8"/>
    <w:rsid w:val="00576434"/>
    <w:rsid w:val="00576569"/>
    <w:rsid w:val="00576B75"/>
    <w:rsid w:val="00576C0D"/>
    <w:rsid w:val="00576D5E"/>
    <w:rsid w:val="00576DE4"/>
    <w:rsid w:val="005803D3"/>
    <w:rsid w:val="00580D1A"/>
    <w:rsid w:val="005828D8"/>
    <w:rsid w:val="00583A53"/>
    <w:rsid w:val="00584291"/>
    <w:rsid w:val="0058471A"/>
    <w:rsid w:val="00584D1F"/>
    <w:rsid w:val="00585385"/>
    <w:rsid w:val="00585D54"/>
    <w:rsid w:val="00585D5E"/>
    <w:rsid w:val="00585E59"/>
    <w:rsid w:val="00586D82"/>
    <w:rsid w:val="00587711"/>
    <w:rsid w:val="00587717"/>
    <w:rsid w:val="005877D0"/>
    <w:rsid w:val="005878EC"/>
    <w:rsid w:val="00587A6C"/>
    <w:rsid w:val="00587BEF"/>
    <w:rsid w:val="00590175"/>
    <w:rsid w:val="00590D3A"/>
    <w:rsid w:val="00591201"/>
    <w:rsid w:val="005913B6"/>
    <w:rsid w:val="005913CA"/>
    <w:rsid w:val="00592038"/>
    <w:rsid w:val="00592085"/>
    <w:rsid w:val="0059234E"/>
    <w:rsid w:val="0059280B"/>
    <w:rsid w:val="00592BE8"/>
    <w:rsid w:val="0059392D"/>
    <w:rsid w:val="00593A69"/>
    <w:rsid w:val="00593BDB"/>
    <w:rsid w:val="00593DD1"/>
    <w:rsid w:val="00594463"/>
    <w:rsid w:val="0059471D"/>
    <w:rsid w:val="005949E8"/>
    <w:rsid w:val="00594AFE"/>
    <w:rsid w:val="00595249"/>
    <w:rsid w:val="00595254"/>
    <w:rsid w:val="0059566D"/>
    <w:rsid w:val="00595D99"/>
    <w:rsid w:val="00595F91"/>
    <w:rsid w:val="00596769"/>
    <w:rsid w:val="005A014B"/>
    <w:rsid w:val="005A0851"/>
    <w:rsid w:val="005A0B8C"/>
    <w:rsid w:val="005A16A7"/>
    <w:rsid w:val="005A2E51"/>
    <w:rsid w:val="005A3572"/>
    <w:rsid w:val="005A379F"/>
    <w:rsid w:val="005A4858"/>
    <w:rsid w:val="005A4BB7"/>
    <w:rsid w:val="005A4D68"/>
    <w:rsid w:val="005A519E"/>
    <w:rsid w:val="005A564A"/>
    <w:rsid w:val="005A5E2A"/>
    <w:rsid w:val="005A7B3A"/>
    <w:rsid w:val="005A7C65"/>
    <w:rsid w:val="005A7D82"/>
    <w:rsid w:val="005B0A80"/>
    <w:rsid w:val="005B101A"/>
    <w:rsid w:val="005B1E89"/>
    <w:rsid w:val="005B23B1"/>
    <w:rsid w:val="005B2826"/>
    <w:rsid w:val="005B2CFF"/>
    <w:rsid w:val="005B2D04"/>
    <w:rsid w:val="005B35B6"/>
    <w:rsid w:val="005B3674"/>
    <w:rsid w:val="005B395E"/>
    <w:rsid w:val="005B44AF"/>
    <w:rsid w:val="005B5010"/>
    <w:rsid w:val="005B572A"/>
    <w:rsid w:val="005B5A65"/>
    <w:rsid w:val="005B5CD0"/>
    <w:rsid w:val="005B666E"/>
    <w:rsid w:val="005B7134"/>
    <w:rsid w:val="005B7BDB"/>
    <w:rsid w:val="005B7DF8"/>
    <w:rsid w:val="005C0BFE"/>
    <w:rsid w:val="005C0CA5"/>
    <w:rsid w:val="005C1A7D"/>
    <w:rsid w:val="005C226D"/>
    <w:rsid w:val="005C24D6"/>
    <w:rsid w:val="005C29D8"/>
    <w:rsid w:val="005C35D6"/>
    <w:rsid w:val="005C3731"/>
    <w:rsid w:val="005C3D25"/>
    <w:rsid w:val="005C3E67"/>
    <w:rsid w:val="005C40B3"/>
    <w:rsid w:val="005C4733"/>
    <w:rsid w:val="005C4C08"/>
    <w:rsid w:val="005C4FD3"/>
    <w:rsid w:val="005C588F"/>
    <w:rsid w:val="005C6054"/>
    <w:rsid w:val="005C67B1"/>
    <w:rsid w:val="005C6CF9"/>
    <w:rsid w:val="005C7131"/>
    <w:rsid w:val="005C71E3"/>
    <w:rsid w:val="005C7234"/>
    <w:rsid w:val="005C7474"/>
    <w:rsid w:val="005C74E5"/>
    <w:rsid w:val="005C7873"/>
    <w:rsid w:val="005C7BF8"/>
    <w:rsid w:val="005C7D3D"/>
    <w:rsid w:val="005D0AF2"/>
    <w:rsid w:val="005D0F70"/>
    <w:rsid w:val="005D102B"/>
    <w:rsid w:val="005D10DE"/>
    <w:rsid w:val="005D1F47"/>
    <w:rsid w:val="005D1F4F"/>
    <w:rsid w:val="005D2031"/>
    <w:rsid w:val="005D245F"/>
    <w:rsid w:val="005D3314"/>
    <w:rsid w:val="005D3426"/>
    <w:rsid w:val="005D35F7"/>
    <w:rsid w:val="005D384F"/>
    <w:rsid w:val="005D388A"/>
    <w:rsid w:val="005D425F"/>
    <w:rsid w:val="005D4999"/>
    <w:rsid w:val="005D58FA"/>
    <w:rsid w:val="005D62F1"/>
    <w:rsid w:val="005D6B8D"/>
    <w:rsid w:val="005D6BA9"/>
    <w:rsid w:val="005D73EE"/>
    <w:rsid w:val="005E0369"/>
    <w:rsid w:val="005E0874"/>
    <w:rsid w:val="005E0B06"/>
    <w:rsid w:val="005E12B1"/>
    <w:rsid w:val="005E16BD"/>
    <w:rsid w:val="005E1E9B"/>
    <w:rsid w:val="005E21FA"/>
    <w:rsid w:val="005E2369"/>
    <w:rsid w:val="005E336A"/>
    <w:rsid w:val="005E3AE0"/>
    <w:rsid w:val="005E3C00"/>
    <w:rsid w:val="005E4429"/>
    <w:rsid w:val="005E4854"/>
    <w:rsid w:val="005E5769"/>
    <w:rsid w:val="005E60B7"/>
    <w:rsid w:val="005E61CA"/>
    <w:rsid w:val="005E61D9"/>
    <w:rsid w:val="005F0381"/>
    <w:rsid w:val="005F03D8"/>
    <w:rsid w:val="005F135D"/>
    <w:rsid w:val="005F1699"/>
    <w:rsid w:val="005F215A"/>
    <w:rsid w:val="005F23B5"/>
    <w:rsid w:val="005F2D70"/>
    <w:rsid w:val="005F3CBB"/>
    <w:rsid w:val="005F4598"/>
    <w:rsid w:val="005F4D77"/>
    <w:rsid w:val="005F4F4A"/>
    <w:rsid w:val="005F4FEE"/>
    <w:rsid w:val="005F505C"/>
    <w:rsid w:val="005F5217"/>
    <w:rsid w:val="005F5BDB"/>
    <w:rsid w:val="005F5D03"/>
    <w:rsid w:val="005F60A6"/>
    <w:rsid w:val="005F6409"/>
    <w:rsid w:val="005F66B3"/>
    <w:rsid w:val="005F6ACF"/>
    <w:rsid w:val="005F72AD"/>
    <w:rsid w:val="00600486"/>
    <w:rsid w:val="00600D91"/>
    <w:rsid w:val="0060243F"/>
    <w:rsid w:val="00602EBD"/>
    <w:rsid w:val="00603BA3"/>
    <w:rsid w:val="0060437C"/>
    <w:rsid w:val="00604F8B"/>
    <w:rsid w:val="0060516D"/>
    <w:rsid w:val="0060532A"/>
    <w:rsid w:val="00605706"/>
    <w:rsid w:val="006064C9"/>
    <w:rsid w:val="00606891"/>
    <w:rsid w:val="00606B15"/>
    <w:rsid w:val="00606B85"/>
    <w:rsid w:val="00607059"/>
    <w:rsid w:val="0060720A"/>
    <w:rsid w:val="006073F5"/>
    <w:rsid w:val="00607722"/>
    <w:rsid w:val="00607966"/>
    <w:rsid w:val="00607C9E"/>
    <w:rsid w:val="00607CAB"/>
    <w:rsid w:val="00607DEE"/>
    <w:rsid w:val="00610248"/>
    <w:rsid w:val="006108E5"/>
    <w:rsid w:val="00610909"/>
    <w:rsid w:val="00610964"/>
    <w:rsid w:val="00610ED6"/>
    <w:rsid w:val="00611829"/>
    <w:rsid w:val="00612F2B"/>
    <w:rsid w:val="00613224"/>
    <w:rsid w:val="00613396"/>
    <w:rsid w:val="00613440"/>
    <w:rsid w:val="006137F9"/>
    <w:rsid w:val="00613970"/>
    <w:rsid w:val="00613ABA"/>
    <w:rsid w:val="00613BCE"/>
    <w:rsid w:val="00613DE4"/>
    <w:rsid w:val="00614215"/>
    <w:rsid w:val="00614FA7"/>
    <w:rsid w:val="00620347"/>
    <w:rsid w:val="006207DB"/>
    <w:rsid w:val="00620AED"/>
    <w:rsid w:val="00620F75"/>
    <w:rsid w:val="00621014"/>
    <w:rsid w:val="006217B7"/>
    <w:rsid w:val="0062267F"/>
    <w:rsid w:val="006229FA"/>
    <w:rsid w:val="00622A14"/>
    <w:rsid w:val="00622B9B"/>
    <w:rsid w:val="00623487"/>
    <w:rsid w:val="00623AD5"/>
    <w:rsid w:val="0062400B"/>
    <w:rsid w:val="006245C4"/>
    <w:rsid w:val="00624748"/>
    <w:rsid w:val="0062485A"/>
    <w:rsid w:val="00624BB1"/>
    <w:rsid w:val="006254DF"/>
    <w:rsid w:val="006257B8"/>
    <w:rsid w:val="006259EC"/>
    <w:rsid w:val="00625FE1"/>
    <w:rsid w:val="006266ED"/>
    <w:rsid w:val="006275A2"/>
    <w:rsid w:val="00627D90"/>
    <w:rsid w:val="00627DD5"/>
    <w:rsid w:val="00630CCC"/>
    <w:rsid w:val="006311E9"/>
    <w:rsid w:val="00631614"/>
    <w:rsid w:val="00631617"/>
    <w:rsid w:val="00631B3D"/>
    <w:rsid w:val="00631C4A"/>
    <w:rsid w:val="00631E73"/>
    <w:rsid w:val="0063274E"/>
    <w:rsid w:val="00633419"/>
    <w:rsid w:val="006334B1"/>
    <w:rsid w:val="0063384D"/>
    <w:rsid w:val="00634AFA"/>
    <w:rsid w:val="006350A0"/>
    <w:rsid w:val="006355A9"/>
    <w:rsid w:val="00635776"/>
    <w:rsid w:val="00635E69"/>
    <w:rsid w:val="00635F2E"/>
    <w:rsid w:val="00636458"/>
    <w:rsid w:val="00636AE3"/>
    <w:rsid w:val="006408CC"/>
    <w:rsid w:val="00640D35"/>
    <w:rsid w:val="006410F1"/>
    <w:rsid w:val="0064155B"/>
    <w:rsid w:val="00641695"/>
    <w:rsid w:val="00641C1E"/>
    <w:rsid w:val="00641C6F"/>
    <w:rsid w:val="00642D24"/>
    <w:rsid w:val="00642F92"/>
    <w:rsid w:val="0064350F"/>
    <w:rsid w:val="00643954"/>
    <w:rsid w:val="00643AA5"/>
    <w:rsid w:val="00643BCD"/>
    <w:rsid w:val="0064413B"/>
    <w:rsid w:val="00644E4D"/>
    <w:rsid w:val="0064534A"/>
    <w:rsid w:val="0064558E"/>
    <w:rsid w:val="00645B29"/>
    <w:rsid w:val="00645D3F"/>
    <w:rsid w:val="00645DEF"/>
    <w:rsid w:val="00646764"/>
    <w:rsid w:val="006473B9"/>
    <w:rsid w:val="006475F4"/>
    <w:rsid w:val="006476EE"/>
    <w:rsid w:val="006478A6"/>
    <w:rsid w:val="006502F1"/>
    <w:rsid w:val="00650323"/>
    <w:rsid w:val="00651A82"/>
    <w:rsid w:val="00651C61"/>
    <w:rsid w:val="006530E2"/>
    <w:rsid w:val="0065311F"/>
    <w:rsid w:val="006533C3"/>
    <w:rsid w:val="00653441"/>
    <w:rsid w:val="0065365A"/>
    <w:rsid w:val="006537C5"/>
    <w:rsid w:val="00653B05"/>
    <w:rsid w:val="00653D05"/>
    <w:rsid w:val="00654775"/>
    <w:rsid w:val="00655E08"/>
    <w:rsid w:val="0065637D"/>
    <w:rsid w:val="00657204"/>
    <w:rsid w:val="006573ED"/>
    <w:rsid w:val="00657ED2"/>
    <w:rsid w:val="006618D5"/>
    <w:rsid w:val="00662343"/>
    <w:rsid w:val="00662D80"/>
    <w:rsid w:val="0066360F"/>
    <w:rsid w:val="00664045"/>
    <w:rsid w:val="0066532C"/>
    <w:rsid w:val="006653AE"/>
    <w:rsid w:val="00666863"/>
    <w:rsid w:val="00666ED2"/>
    <w:rsid w:val="00666EFA"/>
    <w:rsid w:val="00667867"/>
    <w:rsid w:val="00667D2A"/>
    <w:rsid w:val="00671FD4"/>
    <w:rsid w:val="00672300"/>
    <w:rsid w:val="00672364"/>
    <w:rsid w:val="006723D1"/>
    <w:rsid w:val="006724C4"/>
    <w:rsid w:val="0067281E"/>
    <w:rsid w:val="006734B7"/>
    <w:rsid w:val="0067413C"/>
    <w:rsid w:val="00674745"/>
    <w:rsid w:val="006765AC"/>
    <w:rsid w:val="00680C8D"/>
    <w:rsid w:val="006813FC"/>
    <w:rsid w:val="006816CC"/>
    <w:rsid w:val="00681903"/>
    <w:rsid w:val="00683CAA"/>
    <w:rsid w:val="00685895"/>
    <w:rsid w:val="0068594A"/>
    <w:rsid w:val="00685A94"/>
    <w:rsid w:val="00685B7F"/>
    <w:rsid w:val="00686072"/>
    <w:rsid w:val="00686C93"/>
    <w:rsid w:val="0069014F"/>
    <w:rsid w:val="0069336C"/>
    <w:rsid w:val="006933D7"/>
    <w:rsid w:val="006941D3"/>
    <w:rsid w:val="006950E1"/>
    <w:rsid w:val="006961CB"/>
    <w:rsid w:val="00696977"/>
    <w:rsid w:val="0069699B"/>
    <w:rsid w:val="00696CE8"/>
    <w:rsid w:val="006973AC"/>
    <w:rsid w:val="0069741A"/>
    <w:rsid w:val="0069789F"/>
    <w:rsid w:val="006A03C4"/>
    <w:rsid w:val="006A1944"/>
    <w:rsid w:val="006A1F3B"/>
    <w:rsid w:val="006A230D"/>
    <w:rsid w:val="006A270A"/>
    <w:rsid w:val="006A3574"/>
    <w:rsid w:val="006A45B8"/>
    <w:rsid w:val="006A51AF"/>
    <w:rsid w:val="006A5FBB"/>
    <w:rsid w:val="006A6006"/>
    <w:rsid w:val="006A6461"/>
    <w:rsid w:val="006A6499"/>
    <w:rsid w:val="006A6E6F"/>
    <w:rsid w:val="006A7F53"/>
    <w:rsid w:val="006A7FA4"/>
    <w:rsid w:val="006B01BA"/>
    <w:rsid w:val="006B02E3"/>
    <w:rsid w:val="006B0D54"/>
    <w:rsid w:val="006B1F80"/>
    <w:rsid w:val="006B232B"/>
    <w:rsid w:val="006B253F"/>
    <w:rsid w:val="006B26D9"/>
    <w:rsid w:val="006B2EC7"/>
    <w:rsid w:val="006B3D22"/>
    <w:rsid w:val="006B4874"/>
    <w:rsid w:val="006B4FD6"/>
    <w:rsid w:val="006B546A"/>
    <w:rsid w:val="006B5678"/>
    <w:rsid w:val="006B5779"/>
    <w:rsid w:val="006B59CA"/>
    <w:rsid w:val="006B5DFA"/>
    <w:rsid w:val="006B60B3"/>
    <w:rsid w:val="006B6387"/>
    <w:rsid w:val="006B76F7"/>
    <w:rsid w:val="006C019D"/>
    <w:rsid w:val="006C04BF"/>
    <w:rsid w:val="006C0F0C"/>
    <w:rsid w:val="006C1290"/>
    <w:rsid w:val="006C25D6"/>
    <w:rsid w:val="006C2A1F"/>
    <w:rsid w:val="006C2B01"/>
    <w:rsid w:val="006C2BFE"/>
    <w:rsid w:val="006C2C09"/>
    <w:rsid w:val="006C2CDC"/>
    <w:rsid w:val="006C2F87"/>
    <w:rsid w:val="006C3DE4"/>
    <w:rsid w:val="006C5134"/>
    <w:rsid w:val="006C5169"/>
    <w:rsid w:val="006C59EC"/>
    <w:rsid w:val="006C5AE1"/>
    <w:rsid w:val="006C5BB4"/>
    <w:rsid w:val="006C61A1"/>
    <w:rsid w:val="006C6BCB"/>
    <w:rsid w:val="006C6E9F"/>
    <w:rsid w:val="006C790E"/>
    <w:rsid w:val="006D036C"/>
    <w:rsid w:val="006D04CB"/>
    <w:rsid w:val="006D1327"/>
    <w:rsid w:val="006D142F"/>
    <w:rsid w:val="006D2200"/>
    <w:rsid w:val="006D27A3"/>
    <w:rsid w:val="006D2C15"/>
    <w:rsid w:val="006D2E46"/>
    <w:rsid w:val="006D3C34"/>
    <w:rsid w:val="006D49DC"/>
    <w:rsid w:val="006D566E"/>
    <w:rsid w:val="006D5B12"/>
    <w:rsid w:val="006D5C9E"/>
    <w:rsid w:val="006D66E2"/>
    <w:rsid w:val="006D6AA8"/>
    <w:rsid w:val="006D6C31"/>
    <w:rsid w:val="006D6D7B"/>
    <w:rsid w:val="006D72BD"/>
    <w:rsid w:val="006D761A"/>
    <w:rsid w:val="006E0046"/>
    <w:rsid w:val="006E0707"/>
    <w:rsid w:val="006E07B8"/>
    <w:rsid w:val="006E0E9F"/>
    <w:rsid w:val="006E111B"/>
    <w:rsid w:val="006E158E"/>
    <w:rsid w:val="006E182D"/>
    <w:rsid w:val="006E1871"/>
    <w:rsid w:val="006E2303"/>
    <w:rsid w:val="006E268C"/>
    <w:rsid w:val="006E2833"/>
    <w:rsid w:val="006E3114"/>
    <w:rsid w:val="006E46E5"/>
    <w:rsid w:val="006E4AE5"/>
    <w:rsid w:val="006E4D38"/>
    <w:rsid w:val="006E4F91"/>
    <w:rsid w:val="006E5033"/>
    <w:rsid w:val="006E5C72"/>
    <w:rsid w:val="006E64C2"/>
    <w:rsid w:val="006E6BEC"/>
    <w:rsid w:val="006E6D05"/>
    <w:rsid w:val="006E77F4"/>
    <w:rsid w:val="006F029F"/>
    <w:rsid w:val="006F05D2"/>
    <w:rsid w:val="006F0617"/>
    <w:rsid w:val="006F133D"/>
    <w:rsid w:val="006F2052"/>
    <w:rsid w:val="006F21E9"/>
    <w:rsid w:val="006F237E"/>
    <w:rsid w:val="006F27E0"/>
    <w:rsid w:val="006F28D7"/>
    <w:rsid w:val="006F2F43"/>
    <w:rsid w:val="006F3228"/>
    <w:rsid w:val="006F326C"/>
    <w:rsid w:val="006F3766"/>
    <w:rsid w:val="006F3C41"/>
    <w:rsid w:val="006F3FB8"/>
    <w:rsid w:val="006F40A4"/>
    <w:rsid w:val="006F40F3"/>
    <w:rsid w:val="006F43BD"/>
    <w:rsid w:val="006F45AA"/>
    <w:rsid w:val="006F45FD"/>
    <w:rsid w:val="006F496C"/>
    <w:rsid w:val="006F541B"/>
    <w:rsid w:val="006F67F4"/>
    <w:rsid w:val="006F6836"/>
    <w:rsid w:val="00701320"/>
    <w:rsid w:val="00701493"/>
    <w:rsid w:val="007016CD"/>
    <w:rsid w:val="0070272C"/>
    <w:rsid w:val="00703893"/>
    <w:rsid w:val="007047FD"/>
    <w:rsid w:val="00705926"/>
    <w:rsid w:val="00706A68"/>
    <w:rsid w:val="00706B0B"/>
    <w:rsid w:val="00706D43"/>
    <w:rsid w:val="00706E01"/>
    <w:rsid w:val="00706F1B"/>
    <w:rsid w:val="00707692"/>
    <w:rsid w:val="00707BAC"/>
    <w:rsid w:val="00707E78"/>
    <w:rsid w:val="00707FF3"/>
    <w:rsid w:val="00710DF8"/>
    <w:rsid w:val="007130AF"/>
    <w:rsid w:val="00713874"/>
    <w:rsid w:val="00713FBE"/>
    <w:rsid w:val="00714012"/>
    <w:rsid w:val="00714C0A"/>
    <w:rsid w:val="00715184"/>
    <w:rsid w:val="00715CDB"/>
    <w:rsid w:val="00716353"/>
    <w:rsid w:val="00716545"/>
    <w:rsid w:val="00717B9B"/>
    <w:rsid w:val="00720030"/>
    <w:rsid w:val="007201BA"/>
    <w:rsid w:val="00720898"/>
    <w:rsid w:val="00721729"/>
    <w:rsid w:val="0072216B"/>
    <w:rsid w:val="00723711"/>
    <w:rsid w:val="007239FE"/>
    <w:rsid w:val="0072420E"/>
    <w:rsid w:val="00724656"/>
    <w:rsid w:val="007249BE"/>
    <w:rsid w:val="00724ABA"/>
    <w:rsid w:val="00724CF2"/>
    <w:rsid w:val="007250FF"/>
    <w:rsid w:val="00725315"/>
    <w:rsid w:val="00725385"/>
    <w:rsid w:val="00725822"/>
    <w:rsid w:val="00725B1A"/>
    <w:rsid w:val="00726328"/>
    <w:rsid w:val="00726CDB"/>
    <w:rsid w:val="007279B3"/>
    <w:rsid w:val="00727FF6"/>
    <w:rsid w:val="00730020"/>
    <w:rsid w:val="00730D44"/>
    <w:rsid w:val="00731655"/>
    <w:rsid w:val="0073189C"/>
    <w:rsid w:val="00731E67"/>
    <w:rsid w:val="007327DD"/>
    <w:rsid w:val="00732A41"/>
    <w:rsid w:val="00732A85"/>
    <w:rsid w:val="00732AB7"/>
    <w:rsid w:val="00733342"/>
    <w:rsid w:val="00733787"/>
    <w:rsid w:val="00733F45"/>
    <w:rsid w:val="00734883"/>
    <w:rsid w:val="00734ADD"/>
    <w:rsid w:val="0073538B"/>
    <w:rsid w:val="00735B50"/>
    <w:rsid w:val="00735CF0"/>
    <w:rsid w:val="00736F74"/>
    <w:rsid w:val="00737469"/>
    <w:rsid w:val="0073790D"/>
    <w:rsid w:val="00737A92"/>
    <w:rsid w:val="007402E2"/>
    <w:rsid w:val="00741818"/>
    <w:rsid w:val="00741B6C"/>
    <w:rsid w:val="00741C4C"/>
    <w:rsid w:val="00742613"/>
    <w:rsid w:val="00742929"/>
    <w:rsid w:val="00742AAC"/>
    <w:rsid w:val="007439CC"/>
    <w:rsid w:val="00744901"/>
    <w:rsid w:val="00746743"/>
    <w:rsid w:val="007468B0"/>
    <w:rsid w:val="0074730B"/>
    <w:rsid w:val="00747408"/>
    <w:rsid w:val="0074742A"/>
    <w:rsid w:val="0075086D"/>
    <w:rsid w:val="007515B7"/>
    <w:rsid w:val="0075232A"/>
    <w:rsid w:val="00752F4B"/>
    <w:rsid w:val="0075352F"/>
    <w:rsid w:val="00753987"/>
    <w:rsid w:val="0075412B"/>
    <w:rsid w:val="0075417C"/>
    <w:rsid w:val="00754CB5"/>
    <w:rsid w:val="007560F4"/>
    <w:rsid w:val="00756ED9"/>
    <w:rsid w:val="007579B6"/>
    <w:rsid w:val="00760A9B"/>
    <w:rsid w:val="00760B2E"/>
    <w:rsid w:val="00760BC8"/>
    <w:rsid w:val="007613E4"/>
    <w:rsid w:val="007616C8"/>
    <w:rsid w:val="007616D9"/>
    <w:rsid w:val="00761B39"/>
    <w:rsid w:val="00761CB2"/>
    <w:rsid w:val="007627D2"/>
    <w:rsid w:val="00762D4E"/>
    <w:rsid w:val="00763205"/>
    <w:rsid w:val="0076353B"/>
    <w:rsid w:val="00763610"/>
    <w:rsid w:val="00763627"/>
    <w:rsid w:val="00763E8E"/>
    <w:rsid w:val="007646E0"/>
    <w:rsid w:val="00764BB9"/>
    <w:rsid w:val="00765762"/>
    <w:rsid w:val="00765AAF"/>
    <w:rsid w:val="0076628F"/>
    <w:rsid w:val="00766413"/>
    <w:rsid w:val="0076712A"/>
    <w:rsid w:val="007671E5"/>
    <w:rsid w:val="00770336"/>
    <w:rsid w:val="00770F16"/>
    <w:rsid w:val="00771456"/>
    <w:rsid w:val="00771500"/>
    <w:rsid w:val="00771FDF"/>
    <w:rsid w:val="00772ED3"/>
    <w:rsid w:val="00772F1E"/>
    <w:rsid w:val="007732BC"/>
    <w:rsid w:val="007733F1"/>
    <w:rsid w:val="00773458"/>
    <w:rsid w:val="007741EB"/>
    <w:rsid w:val="007743DB"/>
    <w:rsid w:val="00774511"/>
    <w:rsid w:val="00774604"/>
    <w:rsid w:val="00775EFB"/>
    <w:rsid w:val="0077652F"/>
    <w:rsid w:val="0077724E"/>
    <w:rsid w:val="00777A6F"/>
    <w:rsid w:val="0078036F"/>
    <w:rsid w:val="00780B2C"/>
    <w:rsid w:val="00780C4D"/>
    <w:rsid w:val="00782DB9"/>
    <w:rsid w:val="00783219"/>
    <w:rsid w:val="0078332D"/>
    <w:rsid w:val="007838D1"/>
    <w:rsid w:val="00783A3D"/>
    <w:rsid w:val="00783B54"/>
    <w:rsid w:val="00783EE4"/>
    <w:rsid w:val="00783F1E"/>
    <w:rsid w:val="00783FC8"/>
    <w:rsid w:val="007843EB"/>
    <w:rsid w:val="007862BE"/>
    <w:rsid w:val="007868E2"/>
    <w:rsid w:val="00786E8C"/>
    <w:rsid w:val="0078743C"/>
    <w:rsid w:val="007876F6"/>
    <w:rsid w:val="007877F8"/>
    <w:rsid w:val="007879FA"/>
    <w:rsid w:val="00791992"/>
    <w:rsid w:val="007919BF"/>
    <w:rsid w:val="00791EF1"/>
    <w:rsid w:val="007920EC"/>
    <w:rsid w:val="007923C8"/>
    <w:rsid w:val="00792DD1"/>
    <w:rsid w:val="00792F02"/>
    <w:rsid w:val="00794818"/>
    <w:rsid w:val="00794FF5"/>
    <w:rsid w:val="00795225"/>
    <w:rsid w:val="00795477"/>
    <w:rsid w:val="0079560B"/>
    <w:rsid w:val="007958EA"/>
    <w:rsid w:val="00795C8D"/>
    <w:rsid w:val="00796322"/>
    <w:rsid w:val="00796CDC"/>
    <w:rsid w:val="00796DD0"/>
    <w:rsid w:val="00796F90"/>
    <w:rsid w:val="00797684"/>
    <w:rsid w:val="007A0070"/>
    <w:rsid w:val="007A0DEA"/>
    <w:rsid w:val="007A1DD3"/>
    <w:rsid w:val="007A2AD2"/>
    <w:rsid w:val="007A2B47"/>
    <w:rsid w:val="007A3AE6"/>
    <w:rsid w:val="007A4B51"/>
    <w:rsid w:val="007A50C9"/>
    <w:rsid w:val="007A52E0"/>
    <w:rsid w:val="007A5C5D"/>
    <w:rsid w:val="007A5DC4"/>
    <w:rsid w:val="007A5E15"/>
    <w:rsid w:val="007A612A"/>
    <w:rsid w:val="007A617B"/>
    <w:rsid w:val="007A6751"/>
    <w:rsid w:val="007A6BCB"/>
    <w:rsid w:val="007A7568"/>
    <w:rsid w:val="007A794F"/>
    <w:rsid w:val="007A7F86"/>
    <w:rsid w:val="007B1467"/>
    <w:rsid w:val="007B146D"/>
    <w:rsid w:val="007B1A58"/>
    <w:rsid w:val="007B1ABB"/>
    <w:rsid w:val="007B2383"/>
    <w:rsid w:val="007B25A1"/>
    <w:rsid w:val="007B28C0"/>
    <w:rsid w:val="007B3158"/>
    <w:rsid w:val="007B356E"/>
    <w:rsid w:val="007B35DF"/>
    <w:rsid w:val="007B38E1"/>
    <w:rsid w:val="007B3C86"/>
    <w:rsid w:val="007B3C90"/>
    <w:rsid w:val="007B3D4E"/>
    <w:rsid w:val="007B40ED"/>
    <w:rsid w:val="007B4125"/>
    <w:rsid w:val="007B49A6"/>
    <w:rsid w:val="007B4D71"/>
    <w:rsid w:val="007B52D4"/>
    <w:rsid w:val="007B5BE3"/>
    <w:rsid w:val="007B639C"/>
    <w:rsid w:val="007B64EA"/>
    <w:rsid w:val="007B65EF"/>
    <w:rsid w:val="007B7D3C"/>
    <w:rsid w:val="007B7F1D"/>
    <w:rsid w:val="007C069B"/>
    <w:rsid w:val="007C2432"/>
    <w:rsid w:val="007C2516"/>
    <w:rsid w:val="007C2B92"/>
    <w:rsid w:val="007C2CCF"/>
    <w:rsid w:val="007C2D27"/>
    <w:rsid w:val="007C30F5"/>
    <w:rsid w:val="007C32A9"/>
    <w:rsid w:val="007C3DE9"/>
    <w:rsid w:val="007C429E"/>
    <w:rsid w:val="007C4B5D"/>
    <w:rsid w:val="007C4C48"/>
    <w:rsid w:val="007C4D3D"/>
    <w:rsid w:val="007C51EE"/>
    <w:rsid w:val="007C5493"/>
    <w:rsid w:val="007C581E"/>
    <w:rsid w:val="007C5982"/>
    <w:rsid w:val="007C60AA"/>
    <w:rsid w:val="007C6C6B"/>
    <w:rsid w:val="007C719D"/>
    <w:rsid w:val="007C77BD"/>
    <w:rsid w:val="007C798E"/>
    <w:rsid w:val="007D0252"/>
    <w:rsid w:val="007D0C49"/>
    <w:rsid w:val="007D10B1"/>
    <w:rsid w:val="007D19D4"/>
    <w:rsid w:val="007D240B"/>
    <w:rsid w:val="007D25A5"/>
    <w:rsid w:val="007D2E05"/>
    <w:rsid w:val="007D3496"/>
    <w:rsid w:val="007D3638"/>
    <w:rsid w:val="007D3F28"/>
    <w:rsid w:val="007D3F56"/>
    <w:rsid w:val="007D4F32"/>
    <w:rsid w:val="007D561D"/>
    <w:rsid w:val="007D5709"/>
    <w:rsid w:val="007D5736"/>
    <w:rsid w:val="007D65FB"/>
    <w:rsid w:val="007D6CA7"/>
    <w:rsid w:val="007D6D50"/>
    <w:rsid w:val="007D6E78"/>
    <w:rsid w:val="007D76A0"/>
    <w:rsid w:val="007D7764"/>
    <w:rsid w:val="007D7F95"/>
    <w:rsid w:val="007E0992"/>
    <w:rsid w:val="007E0A67"/>
    <w:rsid w:val="007E107F"/>
    <w:rsid w:val="007E2735"/>
    <w:rsid w:val="007E2CDC"/>
    <w:rsid w:val="007E36CE"/>
    <w:rsid w:val="007E38E8"/>
    <w:rsid w:val="007E3FD7"/>
    <w:rsid w:val="007E56F2"/>
    <w:rsid w:val="007E5B66"/>
    <w:rsid w:val="007E5DE4"/>
    <w:rsid w:val="007E68A9"/>
    <w:rsid w:val="007E6B1F"/>
    <w:rsid w:val="007E6B80"/>
    <w:rsid w:val="007F0021"/>
    <w:rsid w:val="007F011A"/>
    <w:rsid w:val="007F01AC"/>
    <w:rsid w:val="007F097A"/>
    <w:rsid w:val="007F0FDD"/>
    <w:rsid w:val="007F1618"/>
    <w:rsid w:val="007F1D22"/>
    <w:rsid w:val="007F32D1"/>
    <w:rsid w:val="007F37AC"/>
    <w:rsid w:val="007F47F2"/>
    <w:rsid w:val="007F5ED0"/>
    <w:rsid w:val="007F64E1"/>
    <w:rsid w:val="007F7806"/>
    <w:rsid w:val="00800EAF"/>
    <w:rsid w:val="00801282"/>
    <w:rsid w:val="00801D44"/>
    <w:rsid w:val="008026F4"/>
    <w:rsid w:val="0080281B"/>
    <w:rsid w:val="00802C7F"/>
    <w:rsid w:val="00803949"/>
    <w:rsid w:val="00803BF4"/>
    <w:rsid w:val="00803C38"/>
    <w:rsid w:val="00803E1E"/>
    <w:rsid w:val="0080461D"/>
    <w:rsid w:val="008058B6"/>
    <w:rsid w:val="00806B37"/>
    <w:rsid w:val="0081007E"/>
    <w:rsid w:val="00810C18"/>
    <w:rsid w:val="00810CC0"/>
    <w:rsid w:val="0081137C"/>
    <w:rsid w:val="00811922"/>
    <w:rsid w:val="00811CB3"/>
    <w:rsid w:val="00811EFD"/>
    <w:rsid w:val="00812AB0"/>
    <w:rsid w:val="00813C80"/>
    <w:rsid w:val="008143DF"/>
    <w:rsid w:val="0081469B"/>
    <w:rsid w:val="00814869"/>
    <w:rsid w:val="00816A73"/>
    <w:rsid w:val="00817114"/>
    <w:rsid w:val="00817150"/>
    <w:rsid w:val="00817A2E"/>
    <w:rsid w:val="00817C55"/>
    <w:rsid w:val="00820542"/>
    <w:rsid w:val="00820BC2"/>
    <w:rsid w:val="00820D27"/>
    <w:rsid w:val="00820F92"/>
    <w:rsid w:val="008210F0"/>
    <w:rsid w:val="008212F8"/>
    <w:rsid w:val="0082133C"/>
    <w:rsid w:val="00822289"/>
    <w:rsid w:val="00822304"/>
    <w:rsid w:val="0082280F"/>
    <w:rsid w:val="00822A5F"/>
    <w:rsid w:val="00822A66"/>
    <w:rsid w:val="00822B6D"/>
    <w:rsid w:val="0082343B"/>
    <w:rsid w:val="0082369D"/>
    <w:rsid w:val="008239EE"/>
    <w:rsid w:val="00824BD5"/>
    <w:rsid w:val="00824D21"/>
    <w:rsid w:val="008253F9"/>
    <w:rsid w:val="00826A3C"/>
    <w:rsid w:val="00827166"/>
    <w:rsid w:val="0082746B"/>
    <w:rsid w:val="00827D2A"/>
    <w:rsid w:val="00831EAE"/>
    <w:rsid w:val="00832A87"/>
    <w:rsid w:val="00832B6D"/>
    <w:rsid w:val="00832BD3"/>
    <w:rsid w:val="0083374D"/>
    <w:rsid w:val="00834006"/>
    <w:rsid w:val="00834166"/>
    <w:rsid w:val="008342A1"/>
    <w:rsid w:val="00835C2C"/>
    <w:rsid w:val="008362AB"/>
    <w:rsid w:val="008362BC"/>
    <w:rsid w:val="00836436"/>
    <w:rsid w:val="00836446"/>
    <w:rsid w:val="0083669B"/>
    <w:rsid w:val="00837549"/>
    <w:rsid w:val="008376C0"/>
    <w:rsid w:val="00837F60"/>
    <w:rsid w:val="0084012F"/>
    <w:rsid w:val="00840526"/>
    <w:rsid w:val="0084075B"/>
    <w:rsid w:val="00840B1C"/>
    <w:rsid w:val="00840BA0"/>
    <w:rsid w:val="00841117"/>
    <w:rsid w:val="008411EA"/>
    <w:rsid w:val="0084130B"/>
    <w:rsid w:val="008414D4"/>
    <w:rsid w:val="008418C6"/>
    <w:rsid w:val="00841DEC"/>
    <w:rsid w:val="00841DFD"/>
    <w:rsid w:val="00841E14"/>
    <w:rsid w:val="0084256E"/>
    <w:rsid w:val="00842A44"/>
    <w:rsid w:val="00844073"/>
    <w:rsid w:val="00844559"/>
    <w:rsid w:val="0084675D"/>
    <w:rsid w:val="00846B9D"/>
    <w:rsid w:val="00847186"/>
    <w:rsid w:val="00847900"/>
    <w:rsid w:val="00850F1C"/>
    <w:rsid w:val="00851A94"/>
    <w:rsid w:val="008528C1"/>
    <w:rsid w:val="0085324F"/>
    <w:rsid w:val="00853F64"/>
    <w:rsid w:val="00854123"/>
    <w:rsid w:val="008545A6"/>
    <w:rsid w:val="0085512B"/>
    <w:rsid w:val="00855AAE"/>
    <w:rsid w:val="00855B74"/>
    <w:rsid w:val="008561F0"/>
    <w:rsid w:val="00856917"/>
    <w:rsid w:val="0086044C"/>
    <w:rsid w:val="008619C2"/>
    <w:rsid w:val="00861BF6"/>
    <w:rsid w:val="00861C1C"/>
    <w:rsid w:val="0086213C"/>
    <w:rsid w:val="008622F8"/>
    <w:rsid w:val="00862941"/>
    <w:rsid w:val="00862EC8"/>
    <w:rsid w:val="008640BE"/>
    <w:rsid w:val="00864194"/>
    <w:rsid w:val="008642ED"/>
    <w:rsid w:val="00865250"/>
    <w:rsid w:val="008652B0"/>
    <w:rsid w:val="00865345"/>
    <w:rsid w:val="00866277"/>
    <w:rsid w:val="00866C11"/>
    <w:rsid w:val="00867372"/>
    <w:rsid w:val="00867516"/>
    <w:rsid w:val="00867749"/>
    <w:rsid w:val="0087005A"/>
    <w:rsid w:val="0087032E"/>
    <w:rsid w:val="008705F6"/>
    <w:rsid w:val="00870CE6"/>
    <w:rsid w:val="00870DB9"/>
    <w:rsid w:val="00871518"/>
    <w:rsid w:val="0087183E"/>
    <w:rsid w:val="008722D7"/>
    <w:rsid w:val="00872460"/>
    <w:rsid w:val="00872CC4"/>
    <w:rsid w:val="00872E45"/>
    <w:rsid w:val="00873167"/>
    <w:rsid w:val="00873EED"/>
    <w:rsid w:val="00874D95"/>
    <w:rsid w:val="00874F3B"/>
    <w:rsid w:val="00876B7D"/>
    <w:rsid w:val="00876CE3"/>
    <w:rsid w:val="00876D1D"/>
    <w:rsid w:val="00876FB7"/>
    <w:rsid w:val="008770E9"/>
    <w:rsid w:val="0087743F"/>
    <w:rsid w:val="00877CA1"/>
    <w:rsid w:val="008802FF"/>
    <w:rsid w:val="00880AA9"/>
    <w:rsid w:val="00880AC5"/>
    <w:rsid w:val="00881159"/>
    <w:rsid w:val="00881C0C"/>
    <w:rsid w:val="0088288F"/>
    <w:rsid w:val="008829D6"/>
    <w:rsid w:val="00882B19"/>
    <w:rsid w:val="00883904"/>
    <w:rsid w:val="00884014"/>
    <w:rsid w:val="008840B9"/>
    <w:rsid w:val="008843C5"/>
    <w:rsid w:val="00884BBC"/>
    <w:rsid w:val="00884C27"/>
    <w:rsid w:val="00884E1F"/>
    <w:rsid w:val="00885529"/>
    <w:rsid w:val="0088608E"/>
    <w:rsid w:val="008860FF"/>
    <w:rsid w:val="00886834"/>
    <w:rsid w:val="00886C6B"/>
    <w:rsid w:val="00887629"/>
    <w:rsid w:val="00887EE3"/>
    <w:rsid w:val="00887FC7"/>
    <w:rsid w:val="00890005"/>
    <w:rsid w:val="008908D6"/>
    <w:rsid w:val="00890964"/>
    <w:rsid w:val="00890ABF"/>
    <w:rsid w:val="00890FC6"/>
    <w:rsid w:val="008923B4"/>
    <w:rsid w:val="00892CEF"/>
    <w:rsid w:val="008932E6"/>
    <w:rsid w:val="00893911"/>
    <w:rsid w:val="00893CE3"/>
    <w:rsid w:val="00894264"/>
    <w:rsid w:val="00894349"/>
    <w:rsid w:val="008943F9"/>
    <w:rsid w:val="00894C10"/>
    <w:rsid w:val="00894F7B"/>
    <w:rsid w:val="00896BE6"/>
    <w:rsid w:val="0089750B"/>
    <w:rsid w:val="0089757D"/>
    <w:rsid w:val="00897775"/>
    <w:rsid w:val="008977E9"/>
    <w:rsid w:val="00897C08"/>
    <w:rsid w:val="008A08EB"/>
    <w:rsid w:val="008A0A4C"/>
    <w:rsid w:val="008A10A5"/>
    <w:rsid w:val="008A208A"/>
    <w:rsid w:val="008A230A"/>
    <w:rsid w:val="008A24A3"/>
    <w:rsid w:val="008A2595"/>
    <w:rsid w:val="008A2D32"/>
    <w:rsid w:val="008A30C7"/>
    <w:rsid w:val="008A3787"/>
    <w:rsid w:val="008A3794"/>
    <w:rsid w:val="008A3E2B"/>
    <w:rsid w:val="008A467E"/>
    <w:rsid w:val="008A6F2F"/>
    <w:rsid w:val="008B04C6"/>
    <w:rsid w:val="008B210C"/>
    <w:rsid w:val="008B2EE3"/>
    <w:rsid w:val="008B3C51"/>
    <w:rsid w:val="008B428A"/>
    <w:rsid w:val="008B483F"/>
    <w:rsid w:val="008B5148"/>
    <w:rsid w:val="008B5459"/>
    <w:rsid w:val="008B5810"/>
    <w:rsid w:val="008B5E22"/>
    <w:rsid w:val="008B5FBD"/>
    <w:rsid w:val="008B7291"/>
    <w:rsid w:val="008B7F67"/>
    <w:rsid w:val="008C0B82"/>
    <w:rsid w:val="008C0FB3"/>
    <w:rsid w:val="008C18D1"/>
    <w:rsid w:val="008C1F3F"/>
    <w:rsid w:val="008C337A"/>
    <w:rsid w:val="008C3655"/>
    <w:rsid w:val="008C3918"/>
    <w:rsid w:val="008C408B"/>
    <w:rsid w:val="008C4AEB"/>
    <w:rsid w:val="008C5AB1"/>
    <w:rsid w:val="008C5D86"/>
    <w:rsid w:val="008C6AC0"/>
    <w:rsid w:val="008C7067"/>
    <w:rsid w:val="008D00C9"/>
    <w:rsid w:val="008D065C"/>
    <w:rsid w:val="008D066C"/>
    <w:rsid w:val="008D0A77"/>
    <w:rsid w:val="008D0BC4"/>
    <w:rsid w:val="008D0E6B"/>
    <w:rsid w:val="008D162A"/>
    <w:rsid w:val="008D275B"/>
    <w:rsid w:val="008D3441"/>
    <w:rsid w:val="008D3CB0"/>
    <w:rsid w:val="008D47ED"/>
    <w:rsid w:val="008D4C9B"/>
    <w:rsid w:val="008D50B7"/>
    <w:rsid w:val="008D56A3"/>
    <w:rsid w:val="008D5AC7"/>
    <w:rsid w:val="008D6443"/>
    <w:rsid w:val="008D671E"/>
    <w:rsid w:val="008D7285"/>
    <w:rsid w:val="008D7A2F"/>
    <w:rsid w:val="008D7E1B"/>
    <w:rsid w:val="008E0386"/>
    <w:rsid w:val="008E0441"/>
    <w:rsid w:val="008E1689"/>
    <w:rsid w:val="008E293F"/>
    <w:rsid w:val="008E33C4"/>
    <w:rsid w:val="008E3402"/>
    <w:rsid w:val="008E3455"/>
    <w:rsid w:val="008E5A0F"/>
    <w:rsid w:val="008E5F3A"/>
    <w:rsid w:val="008E5FA8"/>
    <w:rsid w:val="008E6011"/>
    <w:rsid w:val="008E61C1"/>
    <w:rsid w:val="008E6B24"/>
    <w:rsid w:val="008E72BA"/>
    <w:rsid w:val="008E750F"/>
    <w:rsid w:val="008E79FB"/>
    <w:rsid w:val="008E7ADD"/>
    <w:rsid w:val="008E7AE8"/>
    <w:rsid w:val="008F0C9E"/>
    <w:rsid w:val="008F103B"/>
    <w:rsid w:val="008F1781"/>
    <w:rsid w:val="008F263F"/>
    <w:rsid w:val="008F2D56"/>
    <w:rsid w:val="008F3918"/>
    <w:rsid w:val="008F3E99"/>
    <w:rsid w:val="008F4043"/>
    <w:rsid w:val="008F435C"/>
    <w:rsid w:val="008F52B0"/>
    <w:rsid w:val="008F5543"/>
    <w:rsid w:val="008F5602"/>
    <w:rsid w:val="008F6439"/>
    <w:rsid w:val="008F67AA"/>
    <w:rsid w:val="008F7143"/>
    <w:rsid w:val="008F74C1"/>
    <w:rsid w:val="008F7512"/>
    <w:rsid w:val="008F7EB9"/>
    <w:rsid w:val="008F7EE1"/>
    <w:rsid w:val="008F7F8E"/>
    <w:rsid w:val="009001BA"/>
    <w:rsid w:val="00900D50"/>
    <w:rsid w:val="009018F0"/>
    <w:rsid w:val="0090206E"/>
    <w:rsid w:val="00903A88"/>
    <w:rsid w:val="009041DC"/>
    <w:rsid w:val="00905337"/>
    <w:rsid w:val="00905D1B"/>
    <w:rsid w:val="00905EE3"/>
    <w:rsid w:val="00905EE9"/>
    <w:rsid w:val="00907A2A"/>
    <w:rsid w:val="00907F1D"/>
    <w:rsid w:val="00907F4B"/>
    <w:rsid w:val="0091031E"/>
    <w:rsid w:val="0091199A"/>
    <w:rsid w:val="00911F08"/>
    <w:rsid w:val="00912042"/>
    <w:rsid w:val="00912068"/>
    <w:rsid w:val="00912883"/>
    <w:rsid w:val="00912B18"/>
    <w:rsid w:val="009137E8"/>
    <w:rsid w:val="00913DCB"/>
    <w:rsid w:val="00913F45"/>
    <w:rsid w:val="00914193"/>
    <w:rsid w:val="0091440C"/>
    <w:rsid w:val="009148F0"/>
    <w:rsid w:val="00914A31"/>
    <w:rsid w:val="00914BA6"/>
    <w:rsid w:val="0091540A"/>
    <w:rsid w:val="00915819"/>
    <w:rsid w:val="00917242"/>
    <w:rsid w:val="0091794C"/>
    <w:rsid w:val="00920352"/>
    <w:rsid w:val="009204CF"/>
    <w:rsid w:val="00920DC9"/>
    <w:rsid w:val="00920DE9"/>
    <w:rsid w:val="00920E8F"/>
    <w:rsid w:val="0092151D"/>
    <w:rsid w:val="00921874"/>
    <w:rsid w:val="009221CB"/>
    <w:rsid w:val="009225FE"/>
    <w:rsid w:val="009236B3"/>
    <w:rsid w:val="00923C00"/>
    <w:rsid w:val="0092437B"/>
    <w:rsid w:val="009249C5"/>
    <w:rsid w:val="00924ABB"/>
    <w:rsid w:val="009257DB"/>
    <w:rsid w:val="00926812"/>
    <w:rsid w:val="0092693C"/>
    <w:rsid w:val="00926C05"/>
    <w:rsid w:val="00926C83"/>
    <w:rsid w:val="0092711D"/>
    <w:rsid w:val="00927137"/>
    <w:rsid w:val="00927310"/>
    <w:rsid w:val="00927328"/>
    <w:rsid w:val="00927D5D"/>
    <w:rsid w:val="00927EB3"/>
    <w:rsid w:val="00930D2C"/>
    <w:rsid w:val="00931299"/>
    <w:rsid w:val="00931585"/>
    <w:rsid w:val="0093182E"/>
    <w:rsid w:val="00931B87"/>
    <w:rsid w:val="00931C51"/>
    <w:rsid w:val="009328BC"/>
    <w:rsid w:val="00934DE6"/>
    <w:rsid w:val="00935170"/>
    <w:rsid w:val="009352B3"/>
    <w:rsid w:val="00935381"/>
    <w:rsid w:val="00935EDF"/>
    <w:rsid w:val="00936512"/>
    <w:rsid w:val="00936951"/>
    <w:rsid w:val="00936C71"/>
    <w:rsid w:val="00937061"/>
    <w:rsid w:val="00937737"/>
    <w:rsid w:val="00940348"/>
    <w:rsid w:val="00940FF6"/>
    <w:rsid w:val="00941717"/>
    <w:rsid w:val="0094189B"/>
    <w:rsid w:val="00941986"/>
    <w:rsid w:val="00941C00"/>
    <w:rsid w:val="00941C03"/>
    <w:rsid w:val="00942933"/>
    <w:rsid w:val="00942FD3"/>
    <w:rsid w:val="00943165"/>
    <w:rsid w:val="00943E59"/>
    <w:rsid w:val="0094413F"/>
    <w:rsid w:val="00944CF6"/>
    <w:rsid w:val="009452A1"/>
    <w:rsid w:val="0094531B"/>
    <w:rsid w:val="00945675"/>
    <w:rsid w:val="009458A2"/>
    <w:rsid w:val="009459B2"/>
    <w:rsid w:val="009468A5"/>
    <w:rsid w:val="00947934"/>
    <w:rsid w:val="00947A2F"/>
    <w:rsid w:val="0095085D"/>
    <w:rsid w:val="009511A2"/>
    <w:rsid w:val="00952071"/>
    <w:rsid w:val="00953380"/>
    <w:rsid w:val="0095430A"/>
    <w:rsid w:val="009545C5"/>
    <w:rsid w:val="009560B1"/>
    <w:rsid w:val="00956174"/>
    <w:rsid w:val="00956439"/>
    <w:rsid w:val="009568EB"/>
    <w:rsid w:val="00956C07"/>
    <w:rsid w:val="009571DF"/>
    <w:rsid w:val="009578CA"/>
    <w:rsid w:val="009578DE"/>
    <w:rsid w:val="00957B7C"/>
    <w:rsid w:val="0096064E"/>
    <w:rsid w:val="0096202E"/>
    <w:rsid w:val="00965A14"/>
    <w:rsid w:val="00965FC9"/>
    <w:rsid w:val="00966B70"/>
    <w:rsid w:val="00966FA0"/>
    <w:rsid w:val="0096753F"/>
    <w:rsid w:val="00970F8A"/>
    <w:rsid w:val="00971323"/>
    <w:rsid w:val="00971D93"/>
    <w:rsid w:val="009724C9"/>
    <w:rsid w:val="00972787"/>
    <w:rsid w:val="0097280B"/>
    <w:rsid w:val="0097281B"/>
    <w:rsid w:val="0097321F"/>
    <w:rsid w:val="00973341"/>
    <w:rsid w:val="00973DFF"/>
    <w:rsid w:val="00973E0F"/>
    <w:rsid w:val="00973F2D"/>
    <w:rsid w:val="00974248"/>
    <w:rsid w:val="00975B1C"/>
    <w:rsid w:val="00975E3C"/>
    <w:rsid w:val="00975EAC"/>
    <w:rsid w:val="00976263"/>
    <w:rsid w:val="00977289"/>
    <w:rsid w:val="00977A52"/>
    <w:rsid w:val="00980250"/>
    <w:rsid w:val="0098094B"/>
    <w:rsid w:val="00980B5C"/>
    <w:rsid w:val="00981516"/>
    <w:rsid w:val="0098169E"/>
    <w:rsid w:val="00981B9F"/>
    <w:rsid w:val="00981C80"/>
    <w:rsid w:val="00981DE5"/>
    <w:rsid w:val="0098300F"/>
    <w:rsid w:val="00983FFF"/>
    <w:rsid w:val="009842F5"/>
    <w:rsid w:val="0098464E"/>
    <w:rsid w:val="00986633"/>
    <w:rsid w:val="0098689E"/>
    <w:rsid w:val="009868EE"/>
    <w:rsid w:val="0098759C"/>
    <w:rsid w:val="0098773D"/>
    <w:rsid w:val="009900A9"/>
    <w:rsid w:val="00990321"/>
    <w:rsid w:val="009909F6"/>
    <w:rsid w:val="00990AF0"/>
    <w:rsid w:val="009913EA"/>
    <w:rsid w:val="0099280D"/>
    <w:rsid w:val="009928D7"/>
    <w:rsid w:val="00992F01"/>
    <w:rsid w:val="00993182"/>
    <w:rsid w:val="009940A4"/>
    <w:rsid w:val="009942F2"/>
    <w:rsid w:val="00994911"/>
    <w:rsid w:val="00994A64"/>
    <w:rsid w:val="00994D3A"/>
    <w:rsid w:val="0099500D"/>
    <w:rsid w:val="0099520C"/>
    <w:rsid w:val="00995534"/>
    <w:rsid w:val="00995663"/>
    <w:rsid w:val="00995ED6"/>
    <w:rsid w:val="009962AC"/>
    <w:rsid w:val="0099669C"/>
    <w:rsid w:val="0099676D"/>
    <w:rsid w:val="0099688E"/>
    <w:rsid w:val="00997205"/>
    <w:rsid w:val="009976B4"/>
    <w:rsid w:val="00997A14"/>
    <w:rsid w:val="009A0BFA"/>
    <w:rsid w:val="009A0EB6"/>
    <w:rsid w:val="009A0EFE"/>
    <w:rsid w:val="009A117A"/>
    <w:rsid w:val="009A117F"/>
    <w:rsid w:val="009A12C4"/>
    <w:rsid w:val="009A176B"/>
    <w:rsid w:val="009A17C2"/>
    <w:rsid w:val="009A1A49"/>
    <w:rsid w:val="009A1AD1"/>
    <w:rsid w:val="009A269A"/>
    <w:rsid w:val="009A293F"/>
    <w:rsid w:val="009A2DCD"/>
    <w:rsid w:val="009A2F52"/>
    <w:rsid w:val="009A30CB"/>
    <w:rsid w:val="009A3132"/>
    <w:rsid w:val="009A3184"/>
    <w:rsid w:val="009A31CA"/>
    <w:rsid w:val="009A3F07"/>
    <w:rsid w:val="009A437A"/>
    <w:rsid w:val="009A5824"/>
    <w:rsid w:val="009A5A9E"/>
    <w:rsid w:val="009A5B76"/>
    <w:rsid w:val="009A5F4E"/>
    <w:rsid w:val="009A5F65"/>
    <w:rsid w:val="009A6073"/>
    <w:rsid w:val="009A6AC2"/>
    <w:rsid w:val="009A6B82"/>
    <w:rsid w:val="009A6CBC"/>
    <w:rsid w:val="009A767D"/>
    <w:rsid w:val="009A7766"/>
    <w:rsid w:val="009B0502"/>
    <w:rsid w:val="009B1850"/>
    <w:rsid w:val="009B1864"/>
    <w:rsid w:val="009B18D2"/>
    <w:rsid w:val="009B1F2D"/>
    <w:rsid w:val="009B1F78"/>
    <w:rsid w:val="009B24B1"/>
    <w:rsid w:val="009B2540"/>
    <w:rsid w:val="009B2963"/>
    <w:rsid w:val="009B46E4"/>
    <w:rsid w:val="009B4725"/>
    <w:rsid w:val="009B48E6"/>
    <w:rsid w:val="009B4D46"/>
    <w:rsid w:val="009B5786"/>
    <w:rsid w:val="009B6225"/>
    <w:rsid w:val="009B65CA"/>
    <w:rsid w:val="009B68BA"/>
    <w:rsid w:val="009B760E"/>
    <w:rsid w:val="009B7EA0"/>
    <w:rsid w:val="009C0733"/>
    <w:rsid w:val="009C0785"/>
    <w:rsid w:val="009C0DC4"/>
    <w:rsid w:val="009C0FFF"/>
    <w:rsid w:val="009C1D41"/>
    <w:rsid w:val="009C277D"/>
    <w:rsid w:val="009C28A1"/>
    <w:rsid w:val="009C2C40"/>
    <w:rsid w:val="009C2C69"/>
    <w:rsid w:val="009C2F01"/>
    <w:rsid w:val="009C39E7"/>
    <w:rsid w:val="009C42DE"/>
    <w:rsid w:val="009C4D1C"/>
    <w:rsid w:val="009C51DA"/>
    <w:rsid w:val="009C57F4"/>
    <w:rsid w:val="009C610B"/>
    <w:rsid w:val="009C76C8"/>
    <w:rsid w:val="009C77F7"/>
    <w:rsid w:val="009C7A54"/>
    <w:rsid w:val="009D060F"/>
    <w:rsid w:val="009D08CB"/>
    <w:rsid w:val="009D0A7B"/>
    <w:rsid w:val="009D10AF"/>
    <w:rsid w:val="009D10CA"/>
    <w:rsid w:val="009D15EA"/>
    <w:rsid w:val="009D17F5"/>
    <w:rsid w:val="009D1CD3"/>
    <w:rsid w:val="009D2DE9"/>
    <w:rsid w:val="009D33A2"/>
    <w:rsid w:val="009D4818"/>
    <w:rsid w:val="009D4E4A"/>
    <w:rsid w:val="009D52B9"/>
    <w:rsid w:val="009D5977"/>
    <w:rsid w:val="009D5BD5"/>
    <w:rsid w:val="009D6225"/>
    <w:rsid w:val="009D65A6"/>
    <w:rsid w:val="009D6973"/>
    <w:rsid w:val="009E01F4"/>
    <w:rsid w:val="009E0233"/>
    <w:rsid w:val="009E0306"/>
    <w:rsid w:val="009E05EF"/>
    <w:rsid w:val="009E1275"/>
    <w:rsid w:val="009E167A"/>
    <w:rsid w:val="009E173E"/>
    <w:rsid w:val="009E2444"/>
    <w:rsid w:val="009E2EC0"/>
    <w:rsid w:val="009E37A1"/>
    <w:rsid w:val="009E5484"/>
    <w:rsid w:val="009E548E"/>
    <w:rsid w:val="009E5CBE"/>
    <w:rsid w:val="009E5F71"/>
    <w:rsid w:val="009E5F91"/>
    <w:rsid w:val="009E643C"/>
    <w:rsid w:val="009E647F"/>
    <w:rsid w:val="009E68CB"/>
    <w:rsid w:val="009E6B83"/>
    <w:rsid w:val="009E7987"/>
    <w:rsid w:val="009E7992"/>
    <w:rsid w:val="009F0588"/>
    <w:rsid w:val="009F09C1"/>
    <w:rsid w:val="009F0C0D"/>
    <w:rsid w:val="009F109E"/>
    <w:rsid w:val="009F10FD"/>
    <w:rsid w:val="009F150E"/>
    <w:rsid w:val="009F1DFC"/>
    <w:rsid w:val="009F1FB5"/>
    <w:rsid w:val="009F242D"/>
    <w:rsid w:val="009F2C00"/>
    <w:rsid w:val="009F44AB"/>
    <w:rsid w:val="009F4B56"/>
    <w:rsid w:val="009F5657"/>
    <w:rsid w:val="009F5904"/>
    <w:rsid w:val="009F6C65"/>
    <w:rsid w:val="009F7147"/>
    <w:rsid w:val="009F7177"/>
    <w:rsid w:val="009F797F"/>
    <w:rsid w:val="009F7BC2"/>
    <w:rsid w:val="009F7C54"/>
    <w:rsid w:val="009F7F17"/>
    <w:rsid w:val="009F7F84"/>
    <w:rsid w:val="00A00142"/>
    <w:rsid w:val="00A01743"/>
    <w:rsid w:val="00A01D6E"/>
    <w:rsid w:val="00A02F99"/>
    <w:rsid w:val="00A0451C"/>
    <w:rsid w:val="00A047E1"/>
    <w:rsid w:val="00A04AC3"/>
    <w:rsid w:val="00A05186"/>
    <w:rsid w:val="00A05982"/>
    <w:rsid w:val="00A059A9"/>
    <w:rsid w:val="00A05E82"/>
    <w:rsid w:val="00A067B3"/>
    <w:rsid w:val="00A0689D"/>
    <w:rsid w:val="00A068B9"/>
    <w:rsid w:val="00A06C47"/>
    <w:rsid w:val="00A06D1E"/>
    <w:rsid w:val="00A078A7"/>
    <w:rsid w:val="00A07D39"/>
    <w:rsid w:val="00A07F6C"/>
    <w:rsid w:val="00A102D9"/>
    <w:rsid w:val="00A10318"/>
    <w:rsid w:val="00A109BA"/>
    <w:rsid w:val="00A10C60"/>
    <w:rsid w:val="00A11053"/>
    <w:rsid w:val="00A112A7"/>
    <w:rsid w:val="00A11C50"/>
    <w:rsid w:val="00A121E8"/>
    <w:rsid w:val="00A12611"/>
    <w:rsid w:val="00A132EF"/>
    <w:rsid w:val="00A13B4C"/>
    <w:rsid w:val="00A140ED"/>
    <w:rsid w:val="00A14571"/>
    <w:rsid w:val="00A1475B"/>
    <w:rsid w:val="00A14F9A"/>
    <w:rsid w:val="00A15726"/>
    <w:rsid w:val="00A15F68"/>
    <w:rsid w:val="00A165D0"/>
    <w:rsid w:val="00A171FB"/>
    <w:rsid w:val="00A173EE"/>
    <w:rsid w:val="00A20E2E"/>
    <w:rsid w:val="00A216E8"/>
    <w:rsid w:val="00A21DB7"/>
    <w:rsid w:val="00A222BA"/>
    <w:rsid w:val="00A23BEE"/>
    <w:rsid w:val="00A23D3C"/>
    <w:rsid w:val="00A2487A"/>
    <w:rsid w:val="00A254CB"/>
    <w:rsid w:val="00A2567E"/>
    <w:rsid w:val="00A25845"/>
    <w:rsid w:val="00A25AB0"/>
    <w:rsid w:val="00A26F73"/>
    <w:rsid w:val="00A3181D"/>
    <w:rsid w:val="00A31AD1"/>
    <w:rsid w:val="00A3211A"/>
    <w:rsid w:val="00A32365"/>
    <w:rsid w:val="00A32859"/>
    <w:rsid w:val="00A33683"/>
    <w:rsid w:val="00A33A3D"/>
    <w:rsid w:val="00A347E8"/>
    <w:rsid w:val="00A347FD"/>
    <w:rsid w:val="00A34B78"/>
    <w:rsid w:val="00A35F56"/>
    <w:rsid w:val="00A368B4"/>
    <w:rsid w:val="00A369BA"/>
    <w:rsid w:val="00A369CB"/>
    <w:rsid w:val="00A3705F"/>
    <w:rsid w:val="00A37BCC"/>
    <w:rsid w:val="00A40E04"/>
    <w:rsid w:val="00A41070"/>
    <w:rsid w:val="00A412B0"/>
    <w:rsid w:val="00A42083"/>
    <w:rsid w:val="00A4263C"/>
    <w:rsid w:val="00A42C1F"/>
    <w:rsid w:val="00A43375"/>
    <w:rsid w:val="00A43ACE"/>
    <w:rsid w:val="00A43CA5"/>
    <w:rsid w:val="00A44248"/>
    <w:rsid w:val="00A44434"/>
    <w:rsid w:val="00A44627"/>
    <w:rsid w:val="00A44A55"/>
    <w:rsid w:val="00A45A30"/>
    <w:rsid w:val="00A46246"/>
    <w:rsid w:val="00A5164E"/>
    <w:rsid w:val="00A516F6"/>
    <w:rsid w:val="00A526D2"/>
    <w:rsid w:val="00A52F7D"/>
    <w:rsid w:val="00A53062"/>
    <w:rsid w:val="00A53B7C"/>
    <w:rsid w:val="00A544D5"/>
    <w:rsid w:val="00A554CC"/>
    <w:rsid w:val="00A560D1"/>
    <w:rsid w:val="00A56208"/>
    <w:rsid w:val="00A576C6"/>
    <w:rsid w:val="00A5775D"/>
    <w:rsid w:val="00A57A7E"/>
    <w:rsid w:val="00A6028C"/>
    <w:rsid w:val="00A607DD"/>
    <w:rsid w:val="00A60F14"/>
    <w:rsid w:val="00A61AD4"/>
    <w:rsid w:val="00A61F81"/>
    <w:rsid w:val="00A62163"/>
    <w:rsid w:val="00A629C9"/>
    <w:rsid w:val="00A63202"/>
    <w:rsid w:val="00A63438"/>
    <w:rsid w:val="00A64727"/>
    <w:rsid w:val="00A648E0"/>
    <w:rsid w:val="00A64A98"/>
    <w:rsid w:val="00A64D2D"/>
    <w:rsid w:val="00A65B84"/>
    <w:rsid w:val="00A65BAB"/>
    <w:rsid w:val="00A65BDE"/>
    <w:rsid w:val="00A65C91"/>
    <w:rsid w:val="00A65D5F"/>
    <w:rsid w:val="00A666B2"/>
    <w:rsid w:val="00A66944"/>
    <w:rsid w:val="00A66992"/>
    <w:rsid w:val="00A66B01"/>
    <w:rsid w:val="00A66F5F"/>
    <w:rsid w:val="00A67046"/>
    <w:rsid w:val="00A67769"/>
    <w:rsid w:val="00A67E91"/>
    <w:rsid w:val="00A70EAF"/>
    <w:rsid w:val="00A711B0"/>
    <w:rsid w:val="00A71C43"/>
    <w:rsid w:val="00A7325A"/>
    <w:rsid w:val="00A736EA"/>
    <w:rsid w:val="00A7390F"/>
    <w:rsid w:val="00A73BEB"/>
    <w:rsid w:val="00A7443F"/>
    <w:rsid w:val="00A745D4"/>
    <w:rsid w:val="00A74F63"/>
    <w:rsid w:val="00A75927"/>
    <w:rsid w:val="00A75A80"/>
    <w:rsid w:val="00A75BB6"/>
    <w:rsid w:val="00A7666E"/>
    <w:rsid w:val="00A76AC4"/>
    <w:rsid w:val="00A805B4"/>
    <w:rsid w:val="00A80D8F"/>
    <w:rsid w:val="00A816FD"/>
    <w:rsid w:val="00A8176C"/>
    <w:rsid w:val="00A819BD"/>
    <w:rsid w:val="00A8218C"/>
    <w:rsid w:val="00A82496"/>
    <w:rsid w:val="00A824DF"/>
    <w:rsid w:val="00A82712"/>
    <w:rsid w:val="00A82D5A"/>
    <w:rsid w:val="00A83D4C"/>
    <w:rsid w:val="00A84067"/>
    <w:rsid w:val="00A84370"/>
    <w:rsid w:val="00A843A7"/>
    <w:rsid w:val="00A84BED"/>
    <w:rsid w:val="00A84C6F"/>
    <w:rsid w:val="00A84DC2"/>
    <w:rsid w:val="00A84EA9"/>
    <w:rsid w:val="00A855C9"/>
    <w:rsid w:val="00A85933"/>
    <w:rsid w:val="00A85DED"/>
    <w:rsid w:val="00A85EC3"/>
    <w:rsid w:val="00A86557"/>
    <w:rsid w:val="00A86A73"/>
    <w:rsid w:val="00A86EC3"/>
    <w:rsid w:val="00A871A7"/>
    <w:rsid w:val="00A900CB"/>
    <w:rsid w:val="00A901D4"/>
    <w:rsid w:val="00A90328"/>
    <w:rsid w:val="00A917D7"/>
    <w:rsid w:val="00A93807"/>
    <w:rsid w:val="00A9487E"/>
    <w:rsid w:val="00A94C6C"/>
    <w:rsid w:val="00A95A9A"/>
    <w:rsid w:val="00A95B30"/>
    <w:rsid w:val="00A96F3F"/>
    <w:rsid w:val="00A976F7"/>
    <w:rsid w:val="00AA101A"/>
    <w:rsid w:val="00AA10B9"/>
    <w:rsid w:val="00AA17AA"/>
    <w:rsid w:val="00AA1EE6"/>
    <w:rsid w:val="00AA2C88"/>
    <w:rsid w:val="00AA343A"/>
    <w:rsid w:val="00AA367B"/>
    <w:rsid w:val="00AA37DC"/>
    <w:rsid w:val="00AA43D4"/>
    <w:rsid w:val="00AA45E1"/>
    <w:rsid w:val="00AA474D"/>
    <w:rsid w:val="00AA4876"/>
    <w:rsid w:val="00AA48CF"/>
    <w:rsid w:val="00AA4969"/>
    <w:rsid w:val="00AA5181"/>
    <w:rsid w:val="00AA54CE"/>
    <w:rsid w:val="00AA5AF1"/>
    <w:rsid w:val="00AA6A50"/>
    <w:rsid w:val="00AA6C9A"/>
    <w:rsid w:val="00AA7879"/>
    <w:rsid w:val="00AB03F2"/>
    <w:rsid w:val="00AB04C8"/>
    <w:rsid w:val="00AB08E7"/>
    <w:rsid w:val="00AB0BEB"/>
    <w:rsid w:val="00AB1216"/>
    <w:rsid w:val="00AB15AD"/>
    <w:rsid w:val="00AB1AAD"/>
    <w:rsid w:val="00AB2346"/>
    <w:rsid w:val="00AB2368"/>
    <w:rsid w:val="00AB2BE3"/>
    <w:rsid w:val="00AB3193"/>
    <w:rsid w:val="00AB3DE4"/>
    <w:rsid w:val="00AB5737"/>
    <w:rsid w:val="00AB61B3"/>
    <w:rsid w:val="00AB6A1E"/>
    <w:rsid w:val="00AB75AA"/>
    <w:rsid w:val="00AB75B2"/>
    <w:rsid w:val="00AB7652"/>
    <w:rsid w:val="00AB7895"/>
    <w:rsid w:val="00AC0858"/>
    <w:rsid w:val="00AC0AA7"/>
    <w:rsid w:val="00AC0CDF"/>
    <w:rsid w:val="00AC0E5A"/>
    <w:rsid w:val="00AC14C5"/>
    <w:rsid w:val="00AC167C"/>
    <w:rsid w:val="00AC1BED"/>
    <w:rsid w:val="00AC202D"/>
    <w:rsid w:val="00AC2037"/>
    <w:rsid w:val="00AC3633"/>
    <w:rsid w:val="00AC450A"/>
    <w:rsid w:val="00AC4BA4"/>
    <w:rsid w:val="00AC6A09"/>
    <w:rsid w:val="00AC7F41"/>
    <w:rsid w:val="00AD02C0"/>
    <w:rsid w:val="00AD04F2"/>
    <w:rsid w:val="00AD0D09"/>
    <w:rsid w:val="00AD1607"/>
    <w:rsid w:val="00AD1A2F"/>
    <w:rsid w:val="00AD1CCA"/>
    <w:rsid w:val="00AD2206"/>
    <w:rsid w:val="00AD2CB6"/>
    <w:rsid w:val="00AD2DE8"/>
    <w:rsid w:val="00AD2FF9"/>
    <w:rsid w:val="00AD30DB"/>
    <w:rsid w:val="00AD3832"/>
    <w:rsid w:val="00AD3AD9"/>
    <w:rsid w:val="00AD3C82"/>
    <w:rsid w:val="00AD6098"/>
    <w:rsid w:val="00AD6521"/>
    <w:rsid w:val="00AD7C6A"/>
    <w:rsid w:val="00AE00D8"/>
    <w:rsid w:val="00AE017B"/>
    <w:rsid w:val="00AE019B"/>
    <w:rsid w:val="00AE0488"/>
    <w:rsid w:val="00AE0AB7"/>
    <w:rsid w:val="00AE0AEC"/>
    <w:rsid w:val="00AE0C8E"/>
    <w:rsid w:val="00AE0CA0"/>
    <w:rsid w:val="00AE1FD0"/>
    <w:rsid w:val="00AE414E"/>
    <w:rsid w:val="00AE465B"/>
    <w:rsid w:val="00AE53B4"/>
    <w:rsid w:val="00AE6172"/>
    <w:rsid w:val="00AE6B91"/>
    <w:rsid w:val="00AE6DE7"/>
    <w:rsid w:val="00AE73B0"/>
    <w:rsid w:val="00AE7D2E"/>
    <w:rsid w:val="00AF0151"/>
    <w:rsid w:val="00AF1393"/>
    <w:rsid w:val="00AF1904"/>
    <w:rsid w:val="00AF2CE0"/>
    <w:rsid w:val="00AF2F61"/>
    <w:rsid w:val="00AF3B40"/>
    <w:rsid w:val="00AF431A"/>
    <w:rsid w:val="00AF4DB5"/>
    <w:rsid w:val="00AF5318"/>
    <w:rsid w:val="00AF53E7"/>
    <w:rsid w:val="00AF5465"/>
    <w:rsid w:val="00AF6E06"/>
    <w:rsid w:val="00B001D8"/>
    <w:rsid w:val="00B005E4"/>
    <w:rsid w:val="00B009F4"/>
    <w:rsid w:val="00B00ABA"/>
    <w:rsid w:val="00B00CDA"/>
    <w:rsid w:val="00B01101"/>
    <w:rsid w:val="00B01453"/>
    <w:rsid w:val="00B014D5"/>
    <w:rsid w:val="00B01749"/>
    <w:rsid w:val="00B01B18"/>
    <w:rsid w:val="00B01EBD"/>
    <w:rsid w:val="00B033CB"/>
    <w:rsid w:val="00B038EE"/>
    <w:rsid w:val="00B03BE6"/>
    <w:rsid w:val="00B04777"/>
    <w:rsid w:val="00B04A25"/>
    <w:rsid w:val="00B04BD3"/>
    <w:rsid w:val="00B04CD2"/>
    <w:rsid w:val="00B05109"/>
    <w:rsid w:val="00B05205"/>
    <w:rsid w:val="00B061D9"/>
    <w:rsid w:val="00B0637C"/>
    <w:rsid w:val="00B07491"/>
    <w:rsid w:val="00B074F7"/>
    <w:rsid w:val="00B07E3D"/>
    <w:rsid w:val="00B100C7"/>
    <w:rsid w:val="00B108DC"/>
    <w:rsid w:val="00B10E6F"/>
    <w:rsid w:val="00B11F03"/>
    <w:rsid w:val="00B1216A"/>
    <w:rsid w:val="00B121FB"/>
    <w:rsid w:val="00B12F56"/>
    <w:rsid w:val="00B133BF"/>
    <w:rsid w:val="00B14060"/>
    <w:rsid w:val="00B1414E"/>
    <w:rsid w:val="00B14A9B"/>
    <w:rsid w:val="00B156F8"/>
    <w:rsid w:val="00B15B7F"/>
    <w:rsid w:val="00B15FAB"/>
    <w:rsid w:val="00B16A48"/>
    <w:rsid w:val="00B16E0A"/>
    <w:rsid w:val="00B17562"/>
    <w:rsid w:val="00B17660"/>
    <w:rsid w:val="00B21385"/>
    <w:rsid w:val="00B219E7"/>
    <w:rsid w:val="00B21DEE"/>
    <w:rsid w:val="00B22535"/>
    <w:rsid w:val="00B22664"/>
    <w:rsid w:val="00B24530"/>
    <w:rsid w:val="00B24BBE"/>
    <w:rsid w:val="00B24C2D"/>
    <w:rsid w:val="00B24EA3"/>
    <w:rsid w:val="00B25029"/>
    <w:rsid w:val="00B250E9"/>
    <w:rsid w:val="00B259B8"/>
    <w:rsid w:val="00B2679C"/>
    <w:rsid w:val="00B26BDC"/>
    <w:rsid w:val="00B26F63"/>
    <w:rsid w:val="00B274BB"/>
    <w:rsid w:val="00B278FA"/>
    <w:rsid w:val="00B30177"/>
    <w:rsid w:val="00B30F42"/>
    <w:rsid w:val="00B31667"/>
    <w:rsid w:val="00B31FC8"/>
    <w:rsid w:val="00B321C7"/>
    <w:rsid w:val="00B3315C"/>
    <w:rsid w:val="00B3316D"/>
    <w:rsid w:val="00B333D6"/>
    <w:rsid w:val="00B3395A"/>
    <w:rsid w:val="00B3403B"/>
    <w:rsid w:val="00B34471"/>
    <w:rsid w:val="00B3495E"/>
    <w:rsid w:val="00B34A8E"/>
    <w:rsid w:val="00B34AEC"/>
    <w:rsid w:val="00B34C76"/>
    <w:rsid w:val="00B35322"/>
    <w:rsid w:val="00B35649"/>
    <w:rsid w:val="00B35F03"/>
    <w:rsid w:val="00B40343"/>
    <w:rsid w:val="00B40D16"/>
    <w:rsid w:val="00B414A1"/>
    <w:rsid w:val="00B41629"/>
    <w:rsid w:val="00B4269A"/>
    <w:rsid w:val="00B429AE"/>
    <w:rsid w:val="00B43D4D"/>
    <w:rsid w:val="00B44FCB"/>
    <w:rsid w:val="00B453CE"/>
    <w:rsid w:val="00B462FB"/>
    <w:rsid w:val="00B46AC8"/>
    <w:rsid w:val="00B47162"/>
    <w:rsid w:val="00B4791C"/>
    <w:rsid w:val="00B47B15"/>
    <w:rsid w:val="00B47C8D"/>
    <w:rsid w:val="00B47C9A"/>
    <w:rsid w:val="00B47CEC"/>
    <w:rsid w:val="00B501B0"/>
    <w:rsid w:val="00B50720"/>
    <w:rsid w:val="00B515E2"/>
    <w:rsid w:val="00B521B2"/>
    <w:rsid w:val="00B52468"/>
    <w:rsid w:val="00B530D7"/>
    <w:rsid w:val="00B53424"/>
    <w:rsid w:val="00B543F2"/>
    <w:rsid w:val="00B54BFD"/>
    <w:rsid w:val="00B54D4A"/>
    <w:rsid w:val="00B54E32"/>
    <w:rsid w:val="00B5593C"/>
    <w:rsid w:val="00B55A4F"/>
    <w:rsid w:val="00B56613"/>
    <w:rsid w:val="00B56B43"/>
    <w:rsid w:val="00B57AA0"/>
    <w:rsid w:val="00B57D2F"/>
    <w:rsid w:val="00B601BE"/>
    <w:rsid w:val="00B60CAC"/>
    <w:rsid w:val="00B6113A"/>
    <w:rsid w:val="00B61AB5"/>
    <w:rsid w:val="00B61AF3"/>
    <w:rsid w:val="00B61BB6"/>
    <w:rsid w:val="00B61F52"/>
    <w:rsid w:val="00B6207F"/>
    <w:rsid w:val="00B625CC"/>
    <w:rsid w:val="00B63244"/>
    <w:rsid w:val="00B63247"/>
    <w:rsid w:val="00B635AC"/>
    <w:rsid w:val="00B638D2"/>
    <w:rsid w:val="00B63DF0"/>
    <w:rsid w:val="00B64139"/>
    <w:rsid w:val="00B64EFC"/>
    <w:rsid w:val="00B65129"/>
    <w:rsid w:val="00B65E8B"/>
    <w:rsid w:val="00B65FA8"/>
    <w:rsid w:val="00B664E7"/>
    <w:rsid w:val="00B66F24"/>
    <w:rsid w:val="00B67507"/>
    <w:rsid w:val="00B67588"/>
    <w:rsid w:val="00B709BF"/>
    <w:rsid w:val="00B70D43"/>
    <w:rsid w:val="00B70FFC"/>
    <w:rsid w:val="00B71287"/>
    <w:rsid w:val="00B71531"/>
    <w:rsid w:val="00B71835"/>
    <w:rsid w:val="00B71E1D"/>
    <w:rsid w:val="00B7262A"/>
    <w:rsid w:val="00B744B8"/>
    <w:rsid w:val="00B74646"/>
    <w:rsid w:val="00B75524"/>
    <w:rsid w:val="00B75A05"/>
    <w:rsid w:val="00B75A4A"/>
    <w:rsid w:val="00B75B5D"/>
    <w:rsid w:val="00B75D19"/>
    <w:rsid w:val="00B767EF"/>
    <w:rsid w:val="00B776E0"/>
    <w:rsid w:val="00B77727"/>
    <w:rsid w:val="00B77E24"/>
    <w:rsid w:val="00B81135"/>
    <w:rsid w:val="00B81513"/>
    <w:rsid w:val="00B817D4"/>
    <w:rsid w:val="00B81C26"/>
    <w:rsid w:val="00B81E2C"/>
    <w:rsid w:val="00B825A9"/>
    <w:rsid w:val="00B82F21"/>
    <w:rsid w:val="00B832A0"/>
    <w:rsid w:val="00B839F3"/>
    <w:rsid w:val="00B842A3"/>
    <w:rsid w:val="00B84455"/>
    <w:rsid w:val="00B844DA"/>
    <w:rsid w:val="00B85A03"/>
    <w:rsid w:val="00B85AED"/>
    <w:rsid w:val="00B85AF3"/>
    <w:rsid w:val="00B85B10"/>
    <w:rsid w:val="00B862DF"/>
    <w:rsid w:val="00B8689E"/>
    <w:rsid w:val="00B875A7"/>
    <w:rsid w:val="00B87CE1"/>
    <w:rsid w:val="00B87D4F"/>
    <w:rsid w:val="00B909F6"/>
    <w:rsid w:val="00B91089"/>
    <w:rsid w:val="00B91495"/>
    <w:rsid w:val="00B91498"/>
    <w:rsid w:val="00B9244E"/>
    <w:rsid w:val="00B9293E"/>
    <w:rsid w:val="00B92FB7"/>
    <w:rsid w:val="00B93340"/>
    <w:rsid w:val="00B93855"/>
    <w:rsid w:val="00B93F18"/>
    <w:rsid w:val="00B945F5"/>
    <w:rsid w:val="00B94C13"/>
    <w:rsid w:val="00B958AD"/>
    <w:rsid w:val="00B95BB0"/>
    <w:rsid w:val="00B96356"/>
    <w:rsid w:val="00B968B8"/>
    <w:rsid w:val="00B96A75"/>
    <w:rsid w:val="00B96F74"/>
    <w:rsid w:val="00B97253"/>
    <w:rsid w:val="00B97A7D"/>
    <w:rsid w:val="00B97AE5"/>
    <w:rsid w:val="00B97B9E"/>
    <w:rsid w:val="00B97BDF"/>
    <w:rsid w:val="00B97CF0"/>
    <w:rsid w:val="00BA0483"/>
    <w:rsid w:val="00BA06AA"/>
    <w:rsid w:val="00BA0985"/>
    <w:rsid w:val="00BA127D"/>
    <w:rsid w:val="00BA130B"/>
    <w:rsid w:val="00BA1771"/>
    <w:rsid w:val="00BA182C"/>
    <w:rsid w:val="00BA1BE5"/>
    <w:rsid w:val="00BA1EB5"/>
    <w:rsid w:val="00BA1EBA"/>
    <w:rsid w:val="00BA21E7"/>
    <w:rsid w:val="00BA301C"/>
    <w:rsid w:val="00BA3454"/>
    <w:rsid w:val="00BA355D"/>
    <w:rsid w:val="00BA4F13"/>
    <w:rsid w:val="00BA50DF"/>
    <w:rsid w:val="00BA51B0"/>
    <w:rsid w:val="00BA63E4"/>
    <w:rsid w:val="00BA705C"/>
    <w:rsid w:val="00BA73E2"/>
    <w:rsid w:val="00BB0B1B"/>
    <w:rsid w:val="00BB0F35"/>
    <w:rsid w:val="00BB1A0C"/>
    <w:rsid w:val="00BB1A60"/>
    <w:rsid w:val="00BB1AA7"/>
    <w:rsid w:val="00BB2398"/>
    <w:rsid w:val="00BB3193"/>
    <w:rsid w:val="00BB367F"/>
    <w:rsid w:val="00BB3A65"/>
    <w:rsid w:val="00BB3FC5"/>
    <w:rsid w:val="00BB4112"/>
    <w:rsid w:val="00BB489C"/>
    <w:rsid w:val="00BB49F3"/>
    <w:rsid w:val="00BB5187"/>
    <w:rsid w:val="00BB5E45"/>
    <w:rsid w:val="00BB5EEC"/>
    <w:rsid w:val="00BB5F23"/>
    <w:rsid w:val="00BB67F2"/>
    <w:rsid w:val="00BB6B2B"/>
    <w:rsid w:val="00BB6EC0"/>
    <w:rsid w:val="00BB7975"/>
    <w:rsid w:val="00BB7C16"/>
    <w:rsid w:val="00BC010C"/>
    <w:rsid w:val="00BC0156"/>
    <w:rsid w:val="00BC0CC4"/>
    <w:rsid w:val="00BC0D57"/>
    <w:rsid w:val="00BC0E08"/>
    <w:rsid w:val="00BC215E"/>
    <w:rsid w:val="00BC283F"/>
    <w:rsid w:val="00BC322C"/>
    <w:rsid w:val="00BC3AA4"/>
    <w:rsid w:val="00BC4EDE"/>
    <w:rsid w:val="00BC5536"/>
    <w:rsid w:val="00BC5ED0"/>
    <w:rsid w:val="00BC7AED"/>
    <w:rsid w:val="00BC7E9E"/>
    <w:rsid w:val="00BD02C4"/>
    <w:rsid w:val="00BD04FC"/>
    <w:rsid w:val="00BD05D2"/>
    <w:rsid w:val="00BD09A7"/>
    <w:rsid w:val="00BD0B26"/>
    <w:rsid w:val="00BD1676"/>
    <w:rsid w:val="00BD1C70"/>
    <w:rsid w:val="00BD2117"/>
    <w:rsid w:val="00BD304D"/>
    <w:rsid w:val="00BD325B"/>
    <w:rsid w:val="00BD4EED"/>
    <w:rsid w:val="00BD5B21"/>
    <w:rsid w:val="00BD5C53"/>
    <w:rsid w:val="00BD5C70"/>
    <w:rsid w:val="00BD6144"/>
    <w:rsid w:val="00BD65BD"/>
    <w:rsid w:val="00BD678D"/>
    <w:rsid w:val="00BD697D"/>
    <w:rsid w:val="00BD7003"/>
    <w:rsid w:val="00BD7BC4"/>
    <w:rsid w:val="00BD7EA6"/>
    <w:rsid w:val="00BE1266"/>
    <w:rsid w:val="00BE1CA9"/>
    <w:rsid w:val="00BE2111"/>
    <w:rsid w:val="00BE3008"/>
    <w:rsid w:val="00BE358F"/>
    <w:rsid w:val="00BE3868"/>
    <w:rsid w:val="00BE4548"/>
    <w:rsid w:val="00BE51A7"/>
    <w:rsid w:val="00BE64A0"/>
    <w:rsid w:val="00BE725C"/>
    <w:rsid w:val="00BE78E5"/>
    <w:rsid w:val="00BE7ABA"/>
    <w:rsid w:val="00BF0DA2"/>
    <w:rsid w:val="00BF17E0"/>
    <w:rsid w:val="00BF1C7C"/>
    <w:rsid w:val="00BF1D06"/>
    <w:rsid w:val="00BF2628"/>
    <w:rsid w:val="00BF2E06"/>
    <w:rsid w:val="00BF2EFF"/>
    <w:rsid w:val="00BF330A"/>
    <w:rsid w:val="00BF373A"/>
    <w:rsid w:val="00BF4079"/>
    <w:rsid w:val="00BF42BC"/>
    <w:rsid w:val="00BF4597"/>
    <w:rsid w:val="00BF5B68"/>
    <w:rsid w:val="00BF6948"/>
    <w:rsid w:val="00C0002F"/>
    <w:rsid w:val="00C006A0"/>
    <w:rsid w:val="00C00F9B"/>
    <w:rsid w:val="00C0109A"/>
    <w:rsid w:val="00C01247"/>
    <w:rsid w:val="00C02E22"/>
    <w:rsid w:val="00C036F8"/>
    <w:rsid w:val="00C039E5"/>
    <w:rsid w:val="00C04294"/>
    <w:rsid w:val="00C0477A"/>
    <w:rsid w:val="00C049BC"/>
    <w:rsid w:val="00C04A14"/>
    <w:rsid w:val="00C04DC3"/>
    <w:rsid w:val="00C04EC5"/>
    <w:rsid w:val="00C04F24"/>
    <w:rsid w:val="00C05DAE"/>
    <w:rsid w:val="00C05FB9"/>
    <w:rsid w:val="00C0611C"/>
    <w:rsid w:val="00C07A6E"/>
    <w:rsid w:val="00C07C15"/>
    <w:rsid w:val="00C1011E"/>
    <w:rsid w:val="00C10131"/>
    <w:rsid w:val="00C11300"/>
    <w:rsid w:val="00C1233C"/>
    <w:rsid w:val="00C1272E"/>
    <w:rsid w:val="00C1285E"/>
    <w:rsid w:val="00C1326B"/>
    <w:rsid w:val="00C13519"/>
    <w:rsid w:val="00C13A6C"/>
    <w:rsid w:val="00C13AA8"/>
    <w:rsid w:val="00C14063"/>
    <w:rsid w:val="00C148AD"/>
    <w:rsid w:val="00C14C15"/>
    <w:rsid w:val="00C16830"/>
    <w:rsid w:val="00C169C6"/>
    <w:rsid w:val="00C16C1D"/>
    <w:rsid w:val="00C16FA9"/>
    <w:rsid w:val="00C1709A"/>
    <w:rsid w:val="00C1718F"/>
    <w:rsid w:val="00C1799C"/>
    <w:rsid w:val="00C21274"/>
    <w:rsid w:val="00C21FBD"/>
    <w:rsid w:val="00C22148"/>
    <w:rsid w:val="00C22357"/>
    <w:rsid w:val="00C2259D"/>
    <w:rsid w:val="00C22AA6"/>
    <w:rsid w:val="00C22D18"/>
    <w:rsid w:val="00C23D07"/>
    <w:rsid w:val="00C246D8"/>
    <w:rsid w:val="00C24D6C"/>
    <w:rsid w:val="00C2542E"/>
    <w:rsid w:val="00C2550B"/>
    <w:rsid w:val="00C25D72"/>
    <w:rsid w:val="00C25DF5"/>
    <w:rsid w:val="00C268FF"/>
    <w:rsid w:val="00C26F1B"/>
    <w:rsid w:val="00C2712E"/>
    <w:rsid w:val="00C27262"/>
    <w:rsid w:val="00C30352"/>
    <w:rsid w:val="00C304B2"/>
    <w:rsid w:val="00C304F1"/>
    <w:rsid w:val="00C305F7"/>
    <w:rsid w:val="00C30809"/>
    <w:rsid w:val="00C31AB5"/>
    <w:rsid w:val="00C3241E"/>
    <w:rsid w:val="00C327B8"/>
    <w:rsid w:val="00C328F8"/>
    <w:rsid w:val="00C32B9B"/>
    <w:rsid w:val="00C3330F"/>
    <w:rsid w:val="00C338B8"/>
    <w:rsid w:val="00C342F0"/>
    <w:rsid w:val="00C34B76"/>
    <w:rsid w:val="00C34C6D"/>
    <w:rsid w:val="00C3525A"/>
    <w:rsid w:val="00C36640"/>
    <w:rsid w:val="00C369E9"/>
    <w:rsid w:val="00C36B58"/>
    <w:rsid w:val="00C36F6C"/>
    <w:rsid w:val="00C37410"/>
    <w:rsid w:val="00C379A5"/>
    <w:rsid w:val="00C40023"/>
    <w:rsid w:val="00C40684"/>
    <w:rsid w:val="00C41966"/>
    <w:rsid w:val="00C42ACE"/>
    <w:rsid w:val="00C43D61"/>
    <w:rsid w:val="00C4457F"/>
    <w:rsid w:val="00C4573C"/>
    <w:rsid w:val="00C45979"/>
    <w:rsid w:val="00C467B5"/>
    <w:rsid w:val="00C46EE2"/>
    <w:rsid w:val="00C47027"/>
    <w:rsid w:val="00C4721C"/>
    <w:rsid w:val="00C473E2"/>
    <w:rsid w:val="00C4775C"/>
    <w:rsid w:val="00C47A22"/>
    <w:rsid w:val="00C47A48"/>
    <w:rsid w:val="00C47B14"/>
    <w:rsid w:val="00C50199"/>
    <w:rsid w:val="00C50548"/>
    <w:rsid w:val="00C508F0"/>
    <w:rsid w:val="00C50CE8"/>
    <w:rsid w:val="00C5135A"/>
    <w:rsid w:val="00C51B56"/>
    <w:rsid w:val="00C524C7"/>
    <w:rsid w:val="00C52C5C"/>
    <w:rsid w:val="00C52D59"/>
    <w:rsid w:val="00C53106"/>
    <w:rsid w:val="00C53929"/>
    <w:rsid w:val="00C539D4"/>
    <w:rsid w:val="00C53C21"/>
    <w:rsid w:val="00C5434C"/>
    <w:rsid w:val="00C54AB4"/>
    <w:rsid w:val="00C55190"/>
    <w:rsid w:val="00C55326"/>
    <w:rsid w:val="00C578EA"/>
    <w:rsid w:val="00C5796F"/>
    <w:rsid w:val="00C57F3E"/>
    <w:rsid w:val="00C60512"/>
    <w:rsid w:val="00C60A43"/>
    <w:rsid w:val="00C60F5A"/>
    <w:rsid w:val="00C6161C"/>
    <w:rsid w:val="00C61648"/>
    <w:rsid w:val="00C61AE4"/>
    <w:rsid w:val="00C645EE"/>
    <w:rsid w:val="00C652AF"/>
    <w:rsid w:val="00C6556C"/>
    <w:rsid w:val="00C679E7"/>
    <w:rsid w:val="00C70125"/>
    <w:rsid w:val="00C712C6"/>
    <w:rsid w:val="00C72106"/>
    <w:rsid w:val="00C726F2"/>
    <w:rsid w:val="00C72C25"/>
    <w:rsid w:val="00C735A0"/>
    <w:rsid w:val="00C74239"/>
    <w:rsid w:val="00C7497E"/>
    <w:rsid w:val="00C757DF"/>
    <w:rsid w:val="00C758F7"/>
    <w:rsid w:val="00C75F62"/>
    <w:rsid w:val="00C76050"/>
    <w:rsid w:val="00C76066"/>
    <w:rsid w:val="00C76421"/>
    <w:rsid w:val="00C7697A"/>
    <w:rsid w:val="00C77744"/>
    <w:rsid w:val="00C77971"/>
    <w:rsid w:val="00C81427"/>
    <w:rsid w:val="00C81DA9"/>
    <w:rsid w:val="00C826C5"/>
    <w:rsid w:val="00C82D37"/>
    <w:rsid w:val="00C82FE0"/>
    <w:rsid w:val="00C842CA"/>
    <w:rsid w:val="00C84659"/>
    <w:rsid w:val="00C849A9"/>
    <w:rsid w:val="00C851B8"/>
    <w:rsid w:val="00C85739"/>
    <w:rsid w:val="00C85D18"/>
    <w:rsid w:val="00C86268"/>
    <w:rsid w:val="00C867D8"/>
    <w:rsid w:val="00C868F9"/>
    <w:rsid w:val="00C87178"/>
    <w:rsid w:val="00C872CF"/>
    <w:rsid w:val="00C90C99"/>
    <w:rsid w:val="00C90FFC"/>
    <w:rsid w:val="00C91498"/>
    <w:rsid w:val="00C9186D"/>
    <w:rsid w:val="00C91F3F"/>
    <w:rsid w:val="00C92749"/>
    <w:rsid w:val="00C9291C"/>
    <w:rsid w:val="00C92A12"/>
    <w:rsid w:val="00C92DA3"/>
    <w:rsid w:val="00C935FC"/>
    <w:rsid w:val="00C9384F"/>
    <w:rsid w:val="00C93A72"/>
    <w:rsid w:val="00C94191"/>
    <w:rsid w:val="00C941D1"/>
    <w:rsid w:val="00C95299"/>
    <w:rsid w:val="00C96440"/>
    <w:rsid w:val="00C96714"/>
    <w:rsid w:val="00C97F2D"/>
    <w:rsid w:val="00CA1308"/>
    <w:rsid w:val="00CA1C0D"/>
    <w:rsid w:val="00CA2424"/>
    <w:rsid w:val="00CA247F"/>
    <w:rsid w:val="00CA2891"/>
    <w:rsid w:val="00CA2B05"/>
    <w:rsid w:val="00CA4664"/>
    <w:rsid w:val="00CA488F"/>
    <w:rsid w:val="00CA498D"/>
    <w:rsid w:val="00CA53C5"/>
    <w:rsid w:val="00CA5909"/>
    <w:rsid w:val="00CA5A6A"/>
    <w:rsid w:val="00CA5E34"/>
    <w:rsid w:val="00CA5E72"/>
    <w:rsid w:val="00CA66C6"/>
    <w:rsid w:val="00CA681F"/>
    <w:rsid w:val="00CA6924"/>
    <w:rsid w:val="00CA6F96"/>
    <w:rsid w:val="00CA77E1"/>
    <w:rsid w:val="00CB1B0A"/>
    <w:rsid w:val="00CB2002"/>
    <w:rsid w:val="00CB25E3"/>
    <w:rsid w:val="00CB2923"/>
    <w:rsid w:val="00CB2C0E"/>
    <w:rsid w:val="00CB338D"/>
    <w:rsid w:val="00CB3E58"/>
    <w:rsid w:val="00CB4267"/>
    <w:rsid w:val="00CB467A"/>
    <w:rsid w:val="00CB6057"/>
    <w:rsid w:val="00CB62EA"/>
    <w:rsid w:val="00CB6449"/>
    <w:rsid w:val="00CB6474"/>
    <w:rsid w:val="00CB666F"/>
    <w:rsid w:val="00CB68CF"/>
    <w:rsid w:val="00CB6FF9"/>
    <w:rsid w:val="00CB70DD"/>
    <w:rsid w:val="00CB7312"/>
    <w:rsid w:val="00CB7452"/>
    <w:rsid w:val="00CB757F"/>
    <w:rsid w:val="00CB79F8"/>
    <w:rsid w:val="00CB7AD6"/>
    <w:rsid w:val="00CC06A0"/>
    <w:rsid w:val="00CC073B"/>
    <w:rsid w:val="00CC0CC1"/>
    <w:rsid w:val="00CC1F98"/>
    <w:rsid w:val="00CC2D18"/>
    <w:rsid w:val="00CC3295"/>
    <w:rsid w:val="00CC3DF0"/>
    <w:rsid w:val="00CC444E"/>
    <w:rsid w:val="00CC46F5"/>
    <w:rsid w:val="00CC5152"/>
    <w:rsid w:val="00CC541D"/>
    <w:rsid w:val="00CC673B"/>
    <w:rsid w:val="00CC7CEA"/>
    <w:rsid w:val="00CD0457"/>
    <w:rsid w:val="00CD0D67"/>
    <w:rsid w:val="00CD18C6"/>
    <w:rsid w:val="00CD1929"/>
    <w:rsid w:val="00CD1A47"/>
    <w:rsid w:val="00CD1E15"/>
    <w:rsid w:val="00CD291E"/>
    <w:rsid w:val="00CD2F0C"/>
    <w:rsid w:val="00CD34AE"/>
    <w:rsid w:val="00CD3701"/>
    <w:rsid w:val="00CD4643"/>
    <w:rsid w:val="00CD5D18"/>
    <w:rsid w:val="00CD7540"/>
    <w:rsid w:val="00CE0082"/>
    <w:rsid w:val="00CE0358"/>
    <w:rsid w:val="00CE05CC"/>
    <w:rsid w:val="00CE0ABD"/>
    <w:rsid w:val="00CE1258"/>
    <w:rsid w:val="00CE199D"/>
    <w:rsid w:val="00CE1A5C"/>
    <w:rsid w:val="00CE1F27"/>
    <w:rsid w:val="00CE258B"/>
    <w:rsid w:val="00CE272D"/>
    <w:rsid w:val="00CE2D3C"/>
    <w:rsid w:val="00CE2FB0"/>
    <w:rsid w:val="00CE32C8"/>
    <w:rsid w:val="00CE33F9"/>
    <w:rsid w:val="00CE407E"/>
    <w:rsid w:val="00CE4181"/>
    <w:rsid w:val="00CE4515"/>
    <w:rsid w:val="00CE4772"/>
    <w:rsid w:val="00CE4C22"/>
    <w:rsid w:val="00CE4CAE"/>
    <w:rsid w:val="00CE4E1E"/>
    <w:rsid w:val="00CE69CC"/>
    <w:rsid w:val="00CE6B8B"/>
    <w:rsid w:val="00CE6E28"/>
    <w:rsid w:val="00CE7A77"/>
    <w:rsid w:val="00CE7FA8"/>
    <w:rsid w:val="00CF042F"/>
    <w:rsid w:val="00CF0631"/>
    <w:rsid w:val="00CF0C23"/>
    <w:rsid w:val="00CF0D37"/>
    <w:rsid w:val="00CF0E56"/>
    <w:rsid w:val="00CF1817"/>
    <w:rsid w:val="00CF2474"/>
    <w:rsid w:val="00CF332A"/>
    <w:rsid w:val="00CF3F73"/>
    <w:rsid w:val="00CF4DA4"/>
    <w:rsid w:val="00CF617E"/>
    <w:rsid w:val="00CF62FD"/>
    <w:rsid w:val="00CF67B3"/>
    <w:rsid w:val="00D00421"/>
    <w:rsid w:val="00D00496"/>
    <w:rsid w:val="00D007D3"/>
    <w:rsid w:val="00D0080F"/>
    <w:rsid w:val="00D00FEC"/>
    <w:rsid w:val="00D01727"/>
    <w:rsid w:val="00D02AA6"/>
    <w:rsid w:val="00D03158"/>
    <w:rsid w:val="00D03881"/>
    <w:rsid w:val="00D03939"/>
    <w:rsid w:val="00D06136"/>
    <w:rsid w:val="00D06289"/>
    <w:rsid w:val="00D06D72"/>
    <w:rsid w:val="00D07056"/>
    <w:rsid w:val="00D079FD"/>
    <w:rsid w:val="00D10C71"/>
    <w:rsid w:val="00D11AB0"/>
    <w:rsid w:val="00D11D21"/>
    <w:rsid w:val="00D134E9"/>
    <w:rsid w:val="00D13702"/>
    <w:rsid w:val="00D13BE3"/>
    <w:rsid w:val="00D13D19"/>
    <w:rsid w:val="00D1414B"/>
    <w:rsid w:val="00D147D0"/>
    <w:rsid w:val="00D149A4"/>
    <w:rsid w:val="00D14C87"/>
    <w:rsid w:val="00D14C99"/>
    <w:rsid w:val="00D14FE6"/>
    <w:rsid w:val="00D150ED"/>
    <w:rsid w:val="00D15DE1"/>
    <w:rsid w:val="00D16883"/>
    <w:rsid w:val="00D17C40"/>
    <w:rsid w:val="00D17E35"/>
    <w:rsid w:val="00D20130"/>
    <w:rsid w:val="00D21562"/>
    <w:rsid w:val="00D21B4A"/>
    <w:rsid w:val="00D21E8C"/>
    <w:rsid w:val="00D2215A"/>
    <w:rsid w:val="00D229DB"/>
    <w:rsid w:val="00D22E27"/>
    <w:rsid w:val="00D235BD"/>
    <w:rsid w:val="00D2387D"/>
    <w:rsid w:val="00D24E65"/>
    <w:rsid w:val="00D24F4E"/>
    <w:rsid w:val="00D258D7"/>
    <w:rsid w:val="00D27ADA"/>
    <w:rsid w:val="00D30449"/>
    <w:rsid w:val="00D32711"/>
    <w:rsid w:val="00D32D0C"/>
    <w:rsid w:val="00D32F5C"/>
    <w:rsid w:val="00D33559"/>
    <w:rsid w:val="00D335F3"/>
    <w:rsid w:val="00D33606"/>
    <w:rsid w:val="00D33A66"/>
    <w:rsid w:val="00D33C0E"/>
    <w:rsid w:val="00D34877"/>
    <w:rsid w:val="00D35205"/>
    <w:rsid w:val="00D35246"/>
    <w:rsid w:val="00D357EA"/>
    <w:rsid w:val="00D35858"/>
    <w:rsid w:val="00D35BC8"/>
    <w:rsid w:val="00D36C8E"/>
    <w:rsid w:val="00D37191"/>
    <w:rsid w:val="00D37273"/>
    <w:rsid w:val="00D37DF4"/>
    <w:rsid w:val="00D37FD8"/>
    <w:rsid w:val="00D403F2"/>
    <w:rsid w:val="00D4195B"/>
    <w:rsid w:val="00D41F50"/>
    <w:rsid w:val="00D43877"/>
    <w:rsid w:val="00D44193"/>
    <w:rsid w:val="00D441B5"/>
    <w:rsid w:val="00D44EA4"/>
    <w:rsid w:val="00D45271"/>
    <w:rsid w:val="00D454B6"/>
    <w:rsid w:val="00D4643A"/>
    <w:rsid w:val="00D4685A"/>
    <w:rsid w:val="00D46B67"/>
    <w:rsid w:val="00D478E0"/>
    <w:rsid w:val="00D47AD4"/>
    <w:rsid w:val="00D5042D"/>
    <w:rsid w:val="00D50BA3"/>
    <w:rsid w:val="00D51BA9"/>
    <w:rsid w:val="00D52765"/>
    <w:rsid w:val="00D52E15"/>
    <w:rsid w:val="00D53294"/>
    <w:rsid w:val="00D54045"/>
    <w:rsid w:val="00D54B8C"/>
    <w:rsid w:val="00D5511D"/>
    <w:rsid w:val="00D56AED"/>
    <w:rsid w:val="00D5771C"/>
    <w:rsid w:val="00D6059A"/>
    <w:rsid w:val="00D6075D"/>
    <w:rsid w:val="00D60A2F"/>
    <w:rsid w:val="00D61B2D"/>
    <w:rsid w:val="00D61BF9"/>
    <w:rsid w:val="00D624D3"/>
    <w:rsid w:val="00D62571"/>
    <w:rsid w:val="00D62969"/>
    <w:rsid w:val="00D62FB5"/>
    <w:rsid w:val="00D63765"/>
    <w:rsid w:val="00D63EEE"/>
    <w:rsid w:val="00D64825"/>
    <w:rsid w:val="00D64B29"/>
    <w:rsid w:val="00D64D64"/>
    <w:rsid w:val="00D650C5"/>
    <w:rsid w:val="00D65B69"/>
    <w:rsid w:val="00D65E81"/>
    <w:rsid w:val="00D66553"/>
    <w:rsid w:val="00D66931"/>
    <w:rsid w:val="00D7023E"/>
    <w:rsid w:val="00D70D35"/>
    <w:rsid w:val="00D70D9D"/>
    <w:rsid w:val="00D711C3"/>
    <w:rsid w:val="00D711F0"/>
    <w:rsid w:val="00D722EF"/>
    <w:rsid w:val="00D723F3"/>
    <w:rsid w:val="00D75088"/>
    <w:rsid w:val="00D75F81"/>
    <w:rsid w:val="00D761DB"/>
    <w:rsid w:val="00D76745"/>
    <w:rsid w:val="00D76B0A"/>
    <w:rsid w:val="00D7710D"/>
    <w:rsid w:val="00D77AD1"/>
    <w:rsid w:val="00D77F68"/>
    <w:rsid w:val="00D80149"/>
    <w:rsid w:val="00D803A5"/>
    <w:rsid w:val="00D804D9"/>
    <w:rsid w:val="00D80661"/>
    <w:rsid w:val="00D80684"/>
    <w:rsid w:val="00D809F1"/>
    <w:rsid w:val="00D82B64"/>
    <w:rsid w:val="00D834AF"/>
    <w:rsid w:val="00D83856"/>
    <w:rsid w:val="00D83BA0"/>
    <w:rsid w:val="00D84DF7"/>
    <w:rsid w:val="00D85E86"/>
    <w:rsid w:val="00D87E09"/>
    <w:rsid w:val="00D90817"/>
    <w:rsid w:val="00D90DFD"/>
    <w:rsid w:val="00D90E1A"/>
    <w:rsid w:val="00D90F2B"/>
    <w:rsid w:val="00D90F53"/>
    <w:rsid w:val="00D9106E"/>
    <w:rsid w:val="00D91D7A"/>
    <w:rsid w:val="00D9317F"/>
    <w:rsid w:val="00D93919"/>
    <w:rsid w:val="00D93D53"/>
    <w:rsid w:val="00D94ABF"/>
    <w:rsid w:val="00D94EE7"/>
    <w:rsid w:val="00D95246"/>
    <w:rsid w:val="00D95A94"/>
    <w:rsid w:val="00D96983"/>
    <w:rsid w:val="00D971B9"/>
    <w:rsid w:val="00D97A45"/>
    <w:rsid w:val="00D97C9E"/>
    <w:rsid w:val="00DA0605"/>
    <w:rsid w:val="00DA0D59"/>
    <w:rsid w:val="00DA25D7"/>
    <w:rsid w:val="00DA310F"/>
    <w:rsid w:val="00DA3C48"/>
    <w:rsid w:val="00DA4754"/>
    <w:rsid w:val="00DA50D8"/>
    <w:rsid w:val="00DA5960"/>
    <w:rsid w:val="00DA78EE"/>
    <w:rsid w:val="00DA7EE4"/>
    <w:rsid w:val="00DA7FEA"/>
    <w:rsid w:val="00DB00EE"/>
    <w:rsid w:val="00DB0654"/>
    <w:rsid w:val="00DB0AB9"/>
    <w:rsid w:val="00DB1488"/>
    <w:rsid w:val="00DB16A5"/>
    <w:rsid w:val="00DB2660"/>
    <w:rsid w:val="00DB324E"/>
    <w:rsid w:val="00DB3CEA"/>
    <w:rsid w:val="00DB45BA"/>
    <w:rsid w:val="00DB49A4"/>
    <w:rsid w:val="00DB55C3"/>
    <w:rsid w:val="00DB5953"/>
    <w:rsid w:val="00DB5A2C"/>
    <w:rsid w:val="00DB5B91"/>
    <w:rsid w:val="00DB5EFF"/>
    <w:rsid w:val="00DB6BD9"/>
    <w:rsid w:val="00DB745B"/>
    <w:rsid w:val="00DB7D27"/>
    <w:rsid w:val="00DC010A"/>
    <w:rsid w:val="00DC037E"/>
    <w:rsid w:val="00DC05D5"/>
    <w:rsid w:val="00DC0A17"/>
    <w:rsid w:val="00DC0E36"/>
    <w:rsid w:val="00DC1DC3"/>
    <w:rsid w:val="00DC264F"/>
    <w:rsid w:val="00DC281B"/>
    <w:rsid w:val="00DC2C86"/>
    <w:rsid w:val="00DC2FA7"/>
    <w:rsid w:val="00DC3926"/>
    <w:rsid w:val="00DC4F7A"/>
    <w:rsid w:val="00DC5AD5"/>
    <w:rsid w:val="00DC7014"/>
    <w:rsid w:val="00DC7148"/>
    <w:rsid w:val="00DC7548"/>
    <w:rsid w:val="00DD0573"/>
    <w:rsid w:val="00DD0FBD"/>
    <w:rsid w:val="00DD1815"/>
    <w:rsid w:val="00DD1890"/>
    <w:rsid w:val="00DD1951"/>
    <w:rsid w:val="00DD1A45"/>
    <w:rsid w:val="00DD3711"/>
    <w:rsid w:val="00DD4570"/>
    <w:rsid w:val="00DD59CF"/>
    <w:rsid w:val="00DD6358"/>
    <w:rsid w:val="00DD6DA2"/>
    <w:rsid w:val="00DD6DA8"/>
    <w:rsid w:val="00DD70A0"/>
    <w:rsid w:val="00DE0D35"/>
    <w:rsid w:val="00DE20B3"/>
    <w:rsid w:val="00DE269B"/>
    <w:rsid w:val="00DE26AD"/>
    <w:rsid w:val="00DE2B5E"/>
    <w:rsid w:val="00DE2DB4"/>
    <w:rsid w:val="00DE2F07"/>
    <w:rsid w:val="00DE60BD"/>
    <w:rsid w:val="00DE61F9"/>
    <w:rsid w:val="00DE68CB"/>
    <w:rsid w:val="00DE68EF"/>
    <w:rsid w:val="00DE69C8"/>
    <w:rsid w:val="00DE70A6"/>
    <w:rsid w:val="00DE766A"/>
    <w:rsid w:val="00DE76EE"/>
    <w:rsid w:val="00DE7AFD"/>
    <w:rsid w:val="00DE7BC5"/>
    <w:rsid w:val="00DE7DA5"/>
    <w:rsid w:val="00DF0311"/>
    <w:rsid w:val="00DF0FFF"/>
    <w:rsid w:val="00DF13A1"/>
    <w:rsid w:val="00DF14BF"/>
    <w:rsid w:val="00DF1877"/>
    <w:rsid w:val="00DF2376"/>
    <w:rsid w:val="00DF24E2"/>
    <w:rsid w:val="00DF25FE"/>
    <w:rsid w:val="00DF3124"/>
    <w:rsid w:val="00DF31F1"/>
    <w:rsid w:val="00DF3599"/>
    <w:rsid w:val="00DF3AE1"/>
    <w:rsid w:val="00DF4A36"/>
    <w:rsid w:val="00DF4DE2"/>
    <w:rsid w:val="00DF5EE5"/>
    <w:rsid w:val="00DF67DB"/>
    <w:rsid w:val="00DF6E86"/>
    <w:rsid w:val="00DF6ED7"/>
    <w:rsid w:val="00DF7014"/>
    <w:rsid w:val="00DF7045"/>
    <w:rsid w:val="00DF70BE"/>
    <w:rsid w:val="00DF70C1"/>
    <w:rsid w:val="00DF7C4B"/>
    <w:rsid w:val="00E00BB9"/>
    <w:rsid w:val="00E01555"/>
    <w:rsid w:val="00E0268B"/>
    <w:rsid w:val="00E02AE0"/>
    <w:rsid w:val="00E02C3B"/>
    <w:rsid w:val="00E03077"/>
    <w:rsid w:val="00E033E1"/>
    <w:rsid w:val="00E03FE0"/>
    <w:rsid w:val="00E04059"/>
    <w:rsid w:val="00E045BC"/>
    <w:rsid w:val="00E047BF"/>
    <w:rsid w:val="00E04A1E"/>
    <w:rsid w:val="00E04CD4"/>
    <w:rsid w:val="00E05138"/>
    <w:rsid w:val="00E0560B"/>
    <w:rsid w:val="00E05B2B"/>
    <w:rsid w:val="00E05F37"/>
    <w:rsid w:val="00E05F7A"/>
    <w:rsid w:val="00E06DFC"/>
    <w:rsid w:val="00E06F07"/>
    <w:rsid w:val="00E076E8"/>
    <w:rsid w:val="00E07AAB"/>
    <w:rsid w:val="00E07ADC"/>
    <w:rsid w:val="00E10147"/>
    <w:rsid w:val="00E10195"/>
    <w:rsid w:val="00E10F8B"/>
    <w:rsid w:val="00E115F1"/>
    <w:rsid w:val="00E11A05"/>
    <w:rsid w:val="00E11C5A"/>
    <w:rsid w:val="00E11C99"/>
    <w:rsid w:val="00E120B4"/>
    <w:rsid w:val="00E12757"/>
    <w:rsid w:val="00E12844"/>
    <w:rsid w:val="00E1334C"/>
    <w:rsid w:val="00E13F56"/>
    <w:rsid w:val="00E146B1"/>
    <w:rsid w:val="00E1494C"/>
    <w:rsid w:val="00E14BD5"/>
    <w:rsid w:val="00E14C9D"/>
    <w:rsid w:val="00E14EF7"/>
    <w:rsid w:val="00E14F4E"/>
    <w:rsid w:val="00E158B7"/>
    <w:rsid w:val="00E165C4"/>
    <w:rsid w:val="00E16B52"/>
    <w:rsid w:val="00E201DA"/>
    <w:rsid w:val="00E208D1"/>
    <w:rsid w:val="00E20D4E"/>
    <w:rsid w:val="00E2103E"/>
    <w:rsid w:val="00E214E3"/>
    <w:rsid w:val="00E217F1"/>
    <w:rsid w:val="00E223CA"/>
    <w:rsid w:val="00E22450"/>
    <w:rsid w:val="00E2261B"/>
    <w:rsid w:val="00E226C3"/>
    <w:rsid w:val="00E22A16"/>
    <w:rsid w:val="00E22BA5"/>
    <w:rsid w:val="00E23862"/>
    <w:rsid w:val="00E2395D"/>
    <w:rsid w:val="00E241E7"/>
    <w:rsid w:val="00E24CB0"/>
    <w:rsid w:val="00E250DD"/>
    <w:rsid w:val="00E25A3F"/>
    <w:rsid w:val="00E25F03"/>
    <w:rsid w:val="00E25FB3"/>
    <w:rsid w:val="00E26B52"/>
    <w:rsid w:val="00E26CCA"/>
    <w:rsid w:val="00E270A0"/>
    <w:rsid w:val="00E27791"/>
    <w:rsid w:val="00E2784A"/>
    <w:rsid w:val="00E27A7C"/>
    <w:rsid w:val="00E27F1C"/>
    <w:rsid w:val="00E300A0"/>
    <w:rsid w:val="00E30A12"/>
    <w:rsid w:val="00E31199"/>
    <w:rsid w:val="00E31677"/>
    <w:rsid w:val="00E326AB"/>
    <w:rsid w:val="00E32FAD"/>
    <w:rsid w:val="00E33161"/>
    <w:rsid w:val="00E33F03"/>
    <w:rsid w:val="00E34CF0"/>
    <w:rsid w:val="00E34F9B"/>
    <w:rsid w:val="00E3587A"/>
    <w:rsid w:val="00E36413"/>
    <w:rsid w:val="00E36529"/>
    <w:rsid w:val="00E3696F"/>
    <w:rsid w:val="00E3788D"/>
    <w:rsid w:val="00E4029D"/>
    <w:rsid w:val="00E40745"/>
    <w:rsid w:val="00E4095B"/>
    <w:rsid w:val="00E40A36"/>
    <w:rsid w:val="00E40C87"/>
    <w:rsid w:val="00E41A0D"/>
    <w:rsid w:val="00E4220B"/>
    <w:rsid w:val="00E422BB"/>
    <w:rsid w:val="00E425D2"/>
    <w:rsid w:val="00E42E36"/>
    <w:rsid w:val="00E43380"/>
    <w:rsid w:val="00E438DC"/>
    <w:rsid w:val="00E43C41"/>
    <w:rsid w:val="00E43F8B"/>
    <w:rsid w:val="00E440DA"/>
    <w:rsid w:val="00E444FE"/>
    <w:rsid w:val="00E44C2E"/>
    <w:rsid w:val="00E4525D"/>
    <w:rsid w:val="00E456D0"/>
    <w:rsid w:val="00E45FD6"/>
    <w:rsid w:val="00E46679"/>
    <w:rsid w:val="00E4675B"/>
    <w:rsid w:val="00E46D73"/>
    <w:rsid w:val="00E4710B"/>
    <w:rsid w:val="00E47694"/>
    <w:rsid w:val="00E51ABD"/>
    <w:rsid w:val="00E51EBD"/>
    <w:rsid w:val="00E52028"/>
    <w:rsid w:val="00E520E4"/>
    <w:rsid w:val="00E528B7"/>
    <w:rsid w:val="00E5294B"/>
    <w:rsid w:val="00E52AF6"/>
    <w:rsid w:val="00E52B14"/>
    <w:rsid w:val="00E54387"/>
    <w:rsid w:val="00E55940"/>
    <w:rsid w:val="00E55CAF"/>
    <w:rsid w:val="00E55ED0"/>
    <w:rsid w:val="00E5610C"/>
    <w:rsid w:val="00E564D6"/>
    <w:rsid w:val="00E5680E"/>
    <w:rsid w:val="00E56BA1"/>
    <w:rsid w:val="00E56D78"/>
    <w:rsid w:val="00E57865"/>
    <w:rsid w:val="00E57B9E"/>
    <w:rsid w:val="00E60324"/>
    <w:rsid w:val="00E603FE"/>
    <w:rsid w:val="00E60556"/>
    <w:rsid w:val="00E608E8"/>
    <w:rsid w:val="00E60DE5"/>
    <w:rsid w:val="00E6176C"/>
    <w:rsid w:val="00E62EC7"/>
    <w:rsid w:val="00E63018"/>
    <w:rsid w:val="00E63313"/>
    <w:rsid w:val="00E636B9"/>
    <w:rsid w:val="00E63845"/>
    <w:rsid w:val="00E64901"/>
    <w:rsid w:val="00E65E95"/>
    <w:rsid w:val="00E66B58"/>
    <w:rsid w:val="00E674CC"/>
    <w:rsid w:val="00E70811"/>
    <w:rsid w:val="00E7183E"/>
    <w:rsid w:val="00E71FF9"/>
    <w:rsid w:val="00E7234C"/>
    <w:rsid w:val="00E72577"/>
    <w:rsid w:val="00E72FBE"/>
    <w:rsid w:val="00E7353C"/>
    <w:rsid w:val="00E74418"/>
    <w:rsid w:val="00E7459E"/>
    <w:rsid w:val="00E74605"/>
    <w:rsid w:val="00E746A9"/>
    <w:rsid w:val="00E758C8"/>
    <w:rsid w:val="00E75DEE"/>
    <w:rsid w:val="00E768C2"/>
    <w:rsid w:val="00E76933"/>
    <w:rsid w:val="00E76EC1"/>
    <w:rsid w:val="00E77056"/>
    <w:rsid w:val="00E77BCC"/>
    <w:rsid w:val="00E8005F"/>
    <w:rsid w:val="00E803D9"/>
    <w:rsid w:val="00E80992"/>
    <w:rsid w:val="00E80B4A"/>
    <w:rsid w:val="00E813C5"/>
    <w:rsid w:val="00E814E4"/>
    <w:rsid w:val="00E8174F"/>
    <w:rsid w:val="00E81947"/>
    <w:rsid w:val="00E82261"/>
    <w:rsid w:val="00E829BD"/>
    <w:rsid w:val="00E83124"/>
    <w:rsid w:val="00E833B7"/>
    <w:rsid w:val="00E84008"/>
    <w:rsid w:val="00E85A5C"/>
    <w:rsid w:val="00E85CBD"/>
    <w:rsid w:val="00E85E7B"/>
    <w:rsid w:val="00E86B9C"/>
    <w:rsid w:val="00E86BB6"/>
    <w:rsid w:val="00E8731A"/>
    <w:rsid w:val="00E8799A"/>
    <w:rsid w:val="00E87DF8"/>
    <w:rsid w:val="00E90334"/>
    <w:rsid w:val="00E90622"/>
    <w:rsid w:val="00E908C9"/>
    <w:rsid w:val="00E90B68"/>
    <w:rsid w:val="00E90FD5"/>
    <w:rsid w:val="00E91538"/>
    <w:rsid w:val="00E91829"/>
    <w:rsid w:val="00E919D8"/>
    <w:rsid w:val="00E924E4"/>
    <w:rsid w:val="00E94836"/>
    <w:rsid w:val="00E955E7"/>
    <w:rsid w:val="00E95920"/>
    <w:rsid w:val="00E9734E"/>
    <w:rsid w:val="00E973BF"/>
    <w:rsid w:val="00E97428"/>
    <w:rsid w:val="00E97730"/>
    <w:rsid w:val="00EA03E2"/>
    <w:rsid w:val="00EA08AC"/>
    <w:rsid w:val="00EA0905"/>
    <w:rsid w:val="00EA137F"/>
    <w:rsid w:val="00EA1E94"/>
    <w:rsid w:val="00EA23BF"/>
    <w:rsid w:val="00EA2419"/>
    <w:rsid w:val="00EA34E2"/>
    <w:rsid w:val="00EA3586"/>
    <w:rsid w:val="00EA3730"/>
    <w:rsid w:val="00EA4469"/>
    <w:rsid w:val="00EA4C12"/>
    <w:rsid w:val="00EA598A"/>
    <w:rsid w:val="00EA684E"/>
    <w:rsid w:val="00EA6A27"/>
    <w:rsid w:val="00EA6AA2"/>
    <w:rsid w:val="00EA6EB3"/>
    <w:rsid w:val="00EA7E4B"/>
    <w:rsid w:val="00EB05AA"/>
    <w:rsid w:val="00EB125C"/>
    <w:rsid w:val="00EB1A71"/>
    <w:rsid w:val="00EB1B9B"/>
    <w:rsid w:val="00EB24E8"/>
    <w:rsid w:val="00EB27BF"/>
    <w:rsid w:val="00EB2D88"/>
    <w:rsid w:val="00EB2E9F"/>
    <w:rsid w:val="00EB339D"/>
    <w:rsid w:val="00EB37A0"/>
    <w:rsid w:val="00EB4B6B"/>
    <w:rsid w:val="00EB58BF"/>
    <w:rsid w:val="00EB5F39"/>
    <w:rsid w:val="00EB6C9F"/>
    <w:rsid w:val="00EB728E"/>
    <w:rsid w:val="00EB7D49"/>
    <w:rsid w:val="00EC0ADD"/>
    <w:rsid w:val="00EC1162"/>
    <w:rsid w:val="00EC1197"/>
    <w:rsid w:val="00EC11A2"/>
    <w:rsid w:val="00EC1D1F"/>
    <w:rsid w:val="00EC2EA6"/>
    <w:rsid w:val="00EC2F66"/>
    <w:rsid w:val="00EC36F7"/>
    <w:rsid w:val="00EC37D7"/>
    <w:rsid w:val="00EC3C7F"/>
    <w:rsid w:val="00EC503F"/>
    <w:rsid w:val="00EC50BC"/>
    <w:rsid w:val="00EC52B7"/>
    <w:rsid w:val="00EC562B"/>
    <w:rsid w:val="00EC5702"/>
    <w:rsid w:val="00EC607D"/>
    <w:rsid w:val="00EC670E"/>
    <w:rsid w:val="00EC68E5"/>
    <w:rsid w:val="00EC6BD3"/>
    <w:rsid w:val="00EC7A4C"/>
    <w:rsid w:val="00EC7DF8"/>
    <w:rsid w:val="00ED03D4"/>
    <w:rsid w:val="00ED1031"/>
    <w:rsid w:val="00ED11CF"/>
    <w:rsid w:val="00ED1A6D"/>
    <w:rsid w:val="00ED1B0E"/>
    <w:rsid w:val="00ED2B3E"/>
    <w:rsid w:val="00ED389E"/>
    <w:rsid w:val="00ED43C2"/>
    <w:rsid w:val="00ED45AE"/>
    <w:rsid w:val="00ED53AE"/>
    <w:rsid w:val="00ED5940"/>
    <w:rsid w:val="00ED5A50"/>
    <w:rsid w:val="00ED5D11"/>
    <w:rsid w:val="00ED6F59"/>
    <w:rsid w:val="00ED74D3"/>
    <w:rsid w:val="00ED7865"/>
    <w:rsid w:val="00ED79FC"/>
    <w:rsid w:val="00EE01DD"/>
    <w:rsid w:val="00EE07C5"/>
    <w:rsid w:val="00EE0941"/>
    <w:rsid w:val="00EE0ACB"/>
    <w:rsid w:val="00EE12B4"/>
    <w:rsid w:val="00EE1502"/>
    <w:rsid w:val="00EE20DD"/>
    <w:rsid w:val="00EE226A"/>
    <w:rsid w:val="00EE2622"/>
    <w:rsid w:val="00EE2DA2"/>
    <w:rsid w:val="00EE3089"/>
    <w:rsid w:val="00EE3764"/>
    <w:rsid w:val="00EE3B91"/>
    <w:rsid w:val="00EE46C6"/>
    <w:rsid w:val="00EE4E19"/>
    <w:rsid w:val="00EE4E6A"/>
    <w:rsid w:val="00EE527A"/>
    <w:rsid w:val="00EE547E"/>
    <w:rsid w:val="00EE64C7"/>
    <w:rsid w:val="00EE7418"/>
    <w:rsid w:val="00EE7886"/>
    <w:rsid w:val="00EE7B25"/>
    <w:rsid w:val="00EF0540"/>
    <w:rsid w:val="00EF05B4"/>
    <w:rsid w:val="00EF135A"/>
    <w:rsid w:val="00EF1D1A"/>
    <w:rsid w:val="00EF1E24"/>
    <w:rsid w:val="00EF245C"/>
    <w:rsid w:val="00EF2559"/>
    <w:rsid w:val="00EF27A7"/>
    <w:rsid w:val="00EF29CF"/>
    <w:rsid w:val="00EF37B1"/>
    <w:rsid w:val="00EF4336"/>
    <w:rsid w:val="00EF4568"/>
    <w:rsid w:val="00EF61EF"/>
    <w:rsid w:val="00EF69C5"/>
    <w:rsid w:val="00EF7129"/>
    <w:rsid w:val="00EF71EF"/>
    <w:rsid w:val="00EF72E0"/>
    <w:rsid w:val="00F00424"/>
    <w:rsid w:val="00F0043B"/>
    <w:rsid w:val="00F009AA"/>
    <w:rsid w:val="00F00BC9"/>
    <w:rsid w:val="00F01263"/>
    <w:rsid w:val="00F0314A"/>
    <w:rsid w:val="00F03492"/>
    <w:rsid w:val="00F03974"/>
    <w:rsid w:val="00F03D73"/>
    <w:rsid w:val="00F043C7"/>
    <w:rsid w:val="00F04505"/>
    <w:rsid w:val="00F068BB"/>
    <w:rsid w:val="00F072A7"/>
    <w:rsid w:val="00F07560"/>
    <w:rsid w:val="00F10C13"/>
    <w:rsid w:val="00F11DC5"/>
    <w:rsid w:val="00F1275E"/>
    <w:rsid w:val="00F13517"/>
    <w:rsid w:val="00F13694"/>
    <w:rsid w:val="00F137E0"/>
    <w:rsid w:val="00F13884"/>
    <w:rsid w:val="00F13C79"/>
    <w:rsid w:val="00F147C9"/>
    <w:rsid w:val="00F14811"/>
    <w:rsid w:val="00F14AF0"/>
    <w:rsid w:val="00F14DB1"/>
    <w:rsid w:val="00F14EA9"/>
    <w:rsid w:val="00F154E2"/>
    <w:rsid w:val="00F16CD0"/>
    <w:rsid w:val="00F16E42"/>
    <w:rsid w:val="00F17A81"/>
    <w:rsid w:val="00F204B3"/>
    <w:rsid w:val="00F2051D"/>
    <w:rsid w:val="00F226CD"/>
    <w:rsid w:val="00F22F9D"/>
    <w:rsid w:val="00F23043"/>
    <w:rsid w:val="00F230F1"/>
    <w:rsid w:val="00F23557"/>
    <w:rsid w:val="00F23883"/>
    <w:rsid w:val="00F243D2"/>
    <w:rsid w:val="00F246A6"/>
    <w:rsid w:val="00F247ED"/>
    <w:rsid w:val="00F249E8"/>
    <w:rsid w:val="00F25D8C"/>
    <w:rsid w:val="00F270B7"/>
    <w:rsid w:val="00F27240"/>
    <w:rsid w:val="00F2727E"/>
    <w:rsid w:val="00F2766A"/>
    <w:rsid w:val="00F27AC3"/>
    <w:rsid w:val="00F27B56"/>
    <w:rsid w:val="00F30F83"/>
    <w:rsid w:val="00F31B9B"/>
    <w:rsid w:val="00F324C7"/>
    <w:rsid w:val="00F332D7"/>
    <w:rsid w:val="00F33661"/>
    <w:rsid w:val="00F339FE"/>
    <w:rsid w:val="00F33CFE"/>
    <w:rsid w:val="00F345A4"/>
    <w:rsid w:val="00F34AD0"/>
    <w:rsid w:val="00F34C11"/>
    <w:rsid w:val="00F361E0"/>
    <w:rsid w:val="00F36381"/>
    <w:rsid w:val="00F4039D"/>
    <w:rsid w:val="00F40677"/>
    <w:rsid w:val="00F4093A"/>
    <w:rsid w:val="00F409FD"/>
    <w:rsid w:val="00F40AA1"/>
    <w:rsid w:val="00F40F1D"/>
    <w:rsid w:val="00F417B3"/>
    <w:rsid w:val="00F42457"/>
    <w:rsid w:val="00F435F3"/>
    <w:rsid w:val="00F43A29"/>
    <w:rsid w:val="00F43B44"/>
    <w:rsid w:val="00F43CD8"/>
    <w:rsid w:val="00F43F01"/>
    <w:rsid w:val="00F44252"/>
    <w:rsid w:val="00F442AA"/>
    <w:rsid w:val="00F44CD2"/>
    <w:rsid w:val="00F4591D"/>
    <w:rsid w:val="00F4771C"/>
    <w:rsid w:val="00F47B26"/>
    <w:rsid w:val="00F502B9"/>
    <w:rsid w:val="00F50E89"/>
    <w:rsid w:val="00F51BD1"/>
    <w:rsid w:val="00F51F32"/>
    <w:rsid w:val="00F524F8"/>
    <w:rsid w:val="00F528FF"/>
    <w:rsid w:val="00F52A89"/>
    <w:rsid w:val="00F5487B"/>
    <w:rsid w:val="00F54DA2"/>
    <w:rsid w:val="00F55A57"/>
    <w:rsid w:val="00F55BD6"/>
    <w:rsid w:val="00F56099"/>
    <w:rsid w:val="00F56AD1"/>
    <w:rsid w:val="00F56BF3"/>
    <w:rsid w:val="00F575CD"/>
    <w:rsid w:val="00F577D2"/>
    <w:rsid w:val="00F57B5A"/>
    <w:rsid w:val="00F57F12"/>
    <w:rsid w:val="00F600D2"/>
    <w:rsid w:val="00F60296"/>
    <w:rsid w:val="00F60508"/>
    <w:rsid w:val="00F609DB"/>
    <w:rsid w:val="00F61B9B"/>
    <w:rsid w:val="00F61F10"/>
    <w:rsid w:val="00F62113"/>
    <w:rsid w:val="00F62431"/>
    <w:rsid w:val="00F62BF4"/>
    <w:rsid w:val="00F636AA"/>
    <w:rsid w:val="00F63B32"/>
    <w:rsid w:val="00F65508"/>
    <w:rsid w:val="00F65EEB"/>
    <w:rsid w:val="00F65EFF"/>
    <w:rsid w:val="00F66597"/>
    <w:rsid w:val="00F66BFC"/>
    <w:rsid w:val="00F66C2A"/>
    <w:rsid w:val="00F66EF4"/>
    <w:rsid w:val="00F67638"/>
    <w:rsid w:val="00F67734"/>
    <w:rsid w:val="00F67957"/>
    <w:rsid w:val="00F67C5F"/>
    <w:rsid w:val="00F703BB"/>
    <w:rsid w:val="00F71197"/>
    <w:rsid w:val="00F712AE"/>
    <w:rsid w:val="00F7264E"/>
    <w:rsid w:val="00F72843"/>
    <w:rsid w:val="00F72DA1"/>
    <w:rsid w:val="00F72F67"/>
    <w:rsid w:val="00F73531"/>
    <w:rsid w:val="00F744E8"/>
    <w:rsid w:val="00F750B9"/>
    <w:rsid w:val="00F7554F"/>
    <w:rsid w:val="00F75C38"/>
    <w:rsid w:val="00F75E2D"/>
    <w:rsid w:val="00F76038"/>
    <w:rsid w:val="00F76945"/>
    <w:rsid w:val="00F773DF"/>
    <w:rsid w:val="00F77566"/>
    <w:rsid w:val="00F77C36"/>
    <w:rsid w:val="00F77D10"/>
    <w:rsid w:val="00F77D5A"/>
    <w:rsid w:val="00F800B6"/>
    <w:rsid w:val="00F80296"/>
    <w:rsid w:val="00F81DFF"/>
    <w:rsid w:val="00F8299B"/>
    <w:rsid w:val="00F833F3"/>
    <w:rsid w:val="00F834A9"/>
    <w:rsid w:val="00F83919"/>
    <w:rsid w:val="00F84387"/>
    <w:rsid w:val="00F84B04"/>
    <w:rsid w:val="00F84D22"/>
    <w:rsid w:val="00F85AAE"/>
    <w:rsid w:val="00F85AF6"/>
    <w:rsid w:val="00F8654B"/>
    <w:rsid w:val="00F87524"/>
    <w:rsid w:val="00F9023B"/>
    <w:rsid w:val="00F909A9"/>
    <w:rsid w:val="00F9152F"/>
    <w:rsid w:val="00F915AE"/>
    <w:rsid w:val="00F91957"/>
    <w:rsid w:val="00F91CD1"/>
    <w:rsid w:val="00F93632"/>
    <w:rsid w:val="00F93A3E"/>
    <w:rsid w:val="00F93FB6"/>
    <w:rsid w:val="00F94BAD"/>
    <w:rsid w:val="00F94F73"/>
    <w:rsid w:val="00F9501E"/>
    <w:rsid w:val="00F9515E"/>
    <w:rsid w:val="00F952F2"/>
    <w:rsid w:val="00F9619C"/>
    <w:rsid w:val="00F96663"/>
    <w:rsid w:val="00F968BC"/>
    <w:rsid w:val="00F9765D"/>
    <w:rsid w:val="00FA0002"/>
    <w:rsid w:val="00FA00D0"/>
    <w:rsid w:val="00FA024E"/>
    <w:rsid w:val="00FA0F7C"/>
    <w:rsid w:val="00FA1283"/>
    <w:rsid w:val="00FA19D7"/>
    <w:rsid w:val="00FA1FF3"/>
    <w:rsid w:val="00FA2052"/>
    <w:rsid w:val="00FA326D"/>
    <w:rsid w:val="00FA447F"/>
    <w:rsid w:val="00FA4C8A"/>
    <w:rsid w:val="00FA601F"/>
    <w:rsid w:val="00FA69CF"/>
    <w:rsid w:val="00FA6B4B"/>
    <w:rsid w:val="00FA6BD5"/>
    <w:rsid w:val="00FA71C3"/>
    <w:rsid w:val="00FB0335"/>
    <w:rsid w:val="00FB0443"/>
    <w:rsid w:val="00FB0AFE"/>
    <w:rsid w:val="00FB1500"/>
    <w:rsid w:val="00FB1561"/>
    <w:rsid w:val="00FB3EEF"/>
    <w:rsid w:val="00FB44FB"/>
    <w:rsid w:val="00FB46A7"/>
    <w:rsid w:val="00FB4735"/>
    <w:rsid w:val="00FB55FB"/>
    <w:rsid w:val="00FB61D0"/>
    <w:rsid w:val="00FB7349"/>
    <w:rsid w:val="00FB797F"/>
    <w:rsid w:val="00FC01E9"/>
    <w:rsid w:val="00FC0A29"/>
    <w:rsid w:val="00FC129B"/>
    <w:rsid w:val="00FC1EA8"/>
    <w:rsid w:val="00FC23E9"/>
    <w:rsid w:val="00FC2EA0"/>
    <w:rsid w:val="00FC3231"/>
    <w:rsid w:val="00FC34DA"/>
    <w:rsid w:val="00FC47D7"/>
    <w:rsid w:val="00FC489C"/>
    <w:rsid w:val="00FC538E"/>
    <w:rsid w:val="00FC571B"/>
    <w:rsid w:val="00FC62E3"/>
    <w:rsid w:val="00FC64A3"/>
    <w:rsid w:val="00FC6998"/>
    <w:rsid w:val="00FC6ADB"/>
    <w:rsid w:val="00FD01EE"/>
    <w:rsid w:val="00FD024A"/>
    <w:rsid w:val="00FD067A"/>
    <w:rsid w:val="00FD1AB9"/>
    <w:rsid w:val="00FD27B0"/>
    <w:rsid w:val="00FD362F"/>
    <w:rsid w:val="00FD374B"/>
    <w:rsid w:val="00FD441A"/>
    <w:rsid w:val="00FD5273"/>
    <w:rsid w:val="00FD7924"/>
    <w:rsid w:val="00FD7B36"/>
    <w:rsid w:val="00FE009E"/>
    <w:rsid w:val="00FE17A9"/>
    <w:rsid w:val="00FE1A34"/>
    <w:rsid w:val="00FE2A1A"/>
    <w:rsid w:val="00FE2B23"/>
    <w:rsid w:val="00FE2D57"/>
    <w:rsid w:val="00FE2F82"/>
    <w:rsid w:val="00FE32F2"/>
    <w:rsid w:val="00FE33D5"/>
    <w:rsid w:val="00FE3602"/>
    <w:rsid w:val="00FE3A61"/>
    <w:rsid w:val="00FE4142"/>
    <w:rsid w:val="00FE59C6"/>
    <w:rsid w:val="00FE62DF"/>
    <w:rsid w:val="00FE6693"/>
    <w:rsid w:val="00FE6E4B"/>
    <w:rsid w:val="00FE7AA7"/>
    <w:rsid w:val="00FF04B6"/>
    <w:rsid w:val="00FF0ECB"/>
    <w:rsid w:val="00FF1496"/>
    <w:rsid w:val="00FF1AAF"/>
    <w:rsid w:val="00FF1FB3"/>
    <w:rsid w:val="00FF2314"/>
    <w:rsid w:val="00FF2B07"/>
    <w:rsid w:val="00FF343B"/>
    <w:rsid w:val="00FF3A0E"/>
    <w:rsid w:val="00FF403E"/>
    <w:rsid w:val="00FF4067"/>
    <w:rsid w:val="00FF5839"/>
    <w:rsid w:val="00FF6371"/>
    <w:rsid w:val="00FF66E6"/>
    <w:rsid w:val="00FF717E"/>
    <w:rsid w:val="00FF7863"/>
    <w:rsid w:val="00FF7DFF"/>
    <w:rsid w:val="010C4431"/>
    <w:rsid w:val="01256F2D"/>
    <w:rsid w:val="01350C9C"/>
    <w:rsid w:val="01401F5A"/>
    <w:rsid w:val="015B6D94"/>
    <w:rsid w:val="018428BE"/>
    <w:rsid w:val="01910FB1"/>
    <w:rsid w:val="019F636B"/>
    <w:rsid w:val="01A9480E"/>
    <w:rsid w:val="01AD7348"/>
    <w:rsid w:val="01D776A3"/>
    <w:rsid w:val="01F114A6"/>
    <w:rsid w:val="01FA47FF"/>
    <w:rsid w:val="020B4893"/>
    <w:rsid w:val="02581622"/>
    <w:rsid w:val="025D36B5"/>
    <w:rsid w:val="026F5C8D"/>
    <w:rsid w:val="0276040B"/>
    <w:rsid w:val="029F7154"/>
    <w:rsid w:val="02A212A0"/>
    <w:rsid w:val="02B96468"/>
    <w:rsid w:val="02C80459"/>
    <w:rsid w:val="02C810ED"/>
    <w:rsid w:val="02D7069C"/>
    <w:rsid w:val="02DC76FD"/>
    <w:rsid w:val="02E42DB9"/>
    <w:rsid w:val="0305792F"/>
    <w:rsid w:val="030A0578"/>
    <w:rsid w:val="030A0A72"/>
    <w:rsid w:val="03264D20"/>
    <w:rsid w:val="032836C6"/>
    <w:rsid w:val="032F04D8"/>
    <w:rsid w:val="03491ABD"/>
    <w:rsid w:val="034F2928"/>
    <w:rsid w:val="03544C2F"/>
    <w:rsid w:val="035E7BD0"/>
    <w:rsid w:val="0365214C"/>
    <w:rsid w:val="036A4466"/>
    <w:rsid w:val="03722D13"/>
    <w:rsid w:val="03820782"/>
    <w:rsid w:val="03A5079A"/>
    <w:rsid w:val="04455AD9"/>
    <w:rsid w:val="047F7298"/>
    <w:rsid w:val="0486237A"/>
    <w:rsid w:val="04AD7ABA"/>
    <w:rsid w:val="04D01847"/>
    <w:rsid w:val="04E426E8"/>
    <w:rsid w:val="04E470A0"/>
    <w:rsid w:val="05092FAB"/>
    <w:rsid w:val="050E7658"/>
    <w:rsid w:val="05145BD8"/>
    <w:rsid w:val="051A49C5"/>
    <w:rsid w:val="051E25B2"/>
    <w:rsid w:val="051E5F6D"/>
    <w:rsid w:val="0526590B"/>
    <w:rsid w:val="053109F1"/>
    <w:rsid w:val="0535403C"/>
    <w:rsid w:val="05483AD3"/>
    <w:rsid w:val="05574D59"/>
    <w:rsid w:val="055E50A5"/>
    <w:rsid w:val="05880374"/>
    <w:rsid w:val="058D598A"/>
    <w:rsid w:val="05C10FCB"/>
    <w:rsid w:val="05E9131F"/>
    <w:rsid w:val="06545855"/>
    <w:rsid w:val="06587D46"/>
    <w:rsid w:val="065C0C24"/>
    <w:rsid w:val="06677F89"/>
    <w:rsid w:val="06A22F55"/>
    <w:rsid w:val="06A74829"/>
    <w:rsid w:val="06BB4119"/>
    <w:rsid w:val="06CE1DB6"/>
    <w:rsid w:val="06D26182"/>
    <w:rsid w:val="06DB2F20"/>
    <w:rsid w:val="06E65352"/>
    <w:rsid w:val="07034156"/>
    <w:rsid w:val="071D1892"/>
    <w:rsid w:val="071F16B7"/>
    <w:rsid w:val="072F6440"/>
    <w:rsid w:val="07350C11"/>
    <w:rsid w:val="07391925"/>
    <w:rsid w:val="074402CA"/>
    <w:rsid w:val="0744651C"/>
    <w:rsid w:val="07454BDF"/>
    <w:rsid w:val="074557E8"/>
    <w:rsid w:val="075C54D8"/>
    <w:rsid w:val="07702E6D"/>
    <w:rsid w:val="077706A0"/>
    <w:rsid w:val="077741FC"/>
    <w:rsid w:val="077E37DC"/>
    <w:rsid w:val="0788000B"/>
    <w:rsid w:val="078B7CA7"/>
    <w:rsid w:val="0790350F"/>
    <w:rsid w:val="0797664C"/>
    <w:rsid w:val="07A56FBB"/>
    <w:rsid w:val="07BD5511"/>
    <w:rsid w:val="07E848AA"/>
    <w:rsid w:val="07F23809"/>
    <w:rsid w:val="07F533CB"/>
    <w:rsid w:val="0822685D"/>
    <w:rsid w:val="08312621"/>
    <w:rsid w:val="08995C1F"/>
    <w:rsid w:val="08FF094D"/>
    <w:rsid w:val="091C7994"/>
    <w:rsid w:val="091D0DD3"/>
    <w:rsid w:val="092064EC"/>
    <w:rsid w:val="09396778"/>
    <w:rsid w:val="09510A7C"/>
    <w:rsid w:val="095C18FB"/>
    <w:rsid w:val="0969226A"/>
    <w:rsid w:val="09695B46"/>
    <w:rsid w:val="09784B65"/>
    <w:rsid w:val="098470A4"/>
    <w:rsid w:val="099A0675"/>
    <w:rsid w:val="099B21B8"/>
    <w:rsid w:val="09BA060C"/>
    <w:rsid w:val="09F02651"/>
    <w:rsid w:val="09F6790F"/>
    <w:rsid w:val="0A0631CF"/>
    <w:rsid w:val="0A256BFA"/>
    <w:rsid w:val="0A5814A7"/>
    <w:rsid w:val="0A781CD4"/>
    <w:rsid w:val="0A795EDC"/>
    <w:rsid w:val="0AB67731"/>
    <w:rsid w:val="0AD57C26"/>
    <w:rsid w:val="0B0F6C00"/>
    <w:rsid w:val="0B1904DF"/>
    <w:rsid w:val="0B36617C"/>
    <w:rsid w:val="0B3E553F"/>
    <w:rsid w:val="0B3F79A3"/>
    <w:rsid w:val="0B4C4BB7"/>
    <w:rsid w:val="0B57681E"/>
    <w:rsid w:val="0B5C2086"/>
    <w:rsid w:val="0B7C6285"/>
    <w:rsid w:val="0B7F5D75"/>
    <w:rsid w:val="0BA031E7"/>
    <w:rsid w:val="0BCD1118"/>
    <w:rsid w:val="0BD25EA5"/>
    <w:rsid w:val="0BD47E6F"/>
    <w:rsid w:val="0BFE420D"/>
    <w:rsid w:val="0C2D57D1"/>
    <w:rsid w:val="0C2F2807"/>
    <w:rsid w:val="0C355241"/>
    <w:rsid w:val="0C360B29"/>
    <w:rsid w:val="0C4B3977"/>
    <w:rsid w:val="0C654F6B"/>
    <w:rsid w:val="0C871385"/>
    <w:rsid w:val="0C945850"/>
    <w:rsid w:val="0C9522DF"/>
    <w:rsid w:val="0C9C24D7"/>
    <w:rsid w:val="0CB11F5E"/>
    <w:rsid w:val="0CB63A96"/>
    <w:rsid w:val="0CB93A46"/>
    <w:rsid w:val="0CC021A1"/>
    <w:rsid w:val="0CD143AE"/>
    <w:rsid w:val="0D025ADC"/>
    <w:rsid w:val="0D246BD4"/>
    <w:rsid w:val="0D335069"/>
    <w:rsid w:val="0D45039D"/>
    <w:rsid w:val="0D553231"/>
    <w:rsid w:val="0D5D719B"/>
    <w:rsid w:val="0D620A61"/>
    <w:rsid w:val="0D764D8B"/>
    <w:rsid w:val="0D7F305A"/>
    <w:rsid w:val="0D9D7928"/>
    <w:rsid w:val="0DAB40A9"/>
    <w:rsid w:val="0DB553D3"/>
    <w:rsid w:val="0DD52EAB"/>
    <w:rsid w:val="0DD6470C"/>
    <w:rsid w:val="0DE10621"/>
    <w:rsid w:val="0DE40111"/>
    <w:rsid w:val="0E016F15"/>
    <w:rsid w:val="0E025E4C"/>
    <w:rsid w:val="0E1F739B"/>
    <w:rsid w:val="0E39045D"/>
    <w:rsid w:val="0E401CB6"/>
    <w:rsid w:val="0E484B44"/>
    <w:rsid w:val="0E7553C5"/>
    <w:rsid w:val="0E8D4A86"/>
    <w:rsid w:val="0E9E2E61"/>
    <w:rsid w:val="0EBD766F"/>
    <w:rsid w:val="0EDB330B"/>
    <w:rsid w:val="0EE41D10"/>
    <w:rsid w:val="0EE569A0"/>
    <w:rsid w:val="0EF320FB"/>
    <w:rsid w:val="0EF34AB0"/>
    <w:rsid w:val="0EF3685E"/>
    <w:rsid w:val="0F0B7D07"/>
    <w:rsid w:val="0F0D1CDF"/>
    <w:rsid w:val="0F380715"/>
    <w:rsid w:val="0F4E7929"/>
    <w:rsid w:val="0F53554E"/>
    <w:rsid w:val="0F5C08A7"/>
    <w:rsid w:val="0F5F3E9F"/>
    <w:rsid w:val="0F751969"/>
    <w:rsid w:val="0FB17966"/>
    <w:rsid w:val="0FB81855"/>
    <w:rsid w:val="0FC027F9"/>
    <w:rsid w:val="0FE8213B"/>
    <w:rsid w:val="0FE963CF"/>
    <w:rsid w:val="0FEE5277"/>
    <w:rsid w:val="0FEF171B"/>
    <w:rsid w:val="100C20FA"/>
    <w:rsid w:val="102A6DFC"/>
    <w:rsid w:val="102B2027"/>
    <w:rsid w:val="102F62C5"/>
    <w:rsid w:val="103B19A0"/>
    <w:rsid w:val="10561A69"/>
    <w:rsid w:val="105E15D4"/>
    <w:rsid w:val="10685029"/>
    <w:rsid w:val="106A49A9"/>
    <w:rsid w:val="107E1925"/>
    <w:rsid w:val="108F1745"/>
    <w:rsid w:val="10A51DDA"/>
    <w:rsid w:val="10A5627E"/>
    <w:rsid w:val="10D82A70"/>
    <w:rsid w:val="11020FDA"/>
    <w:rsid w:val="111D7BC2"/>
    <w:rsid w:val="114B0023"/>
    <w:rsid w:val="11751D3B"/>
    <w:rsid w:val="118D1F55"/>
    <w:rsid w:val="11A16A45"/>
    <w:rsid w:val="11E84674"/>
    <w:rsid w:val="1202325C"/>
    <w:rsid w:val="1211524D"/>
    <w:rsid w:val="121366B8"/>
    <w:rsid w:val="1226519C"/>
    <w:rsid w:val="12555A81"/>
    <w:rsid w:val="12706417"/>
    <w:rsid w:val="1280150F"/>
    <w:rsid w:val="12A762DD"/>
    <w:rsid w:val="12B86F7D"/>
    <w:rsid w:val="131B578D"/>
    <w:rsid w:val="133B6A25"/>
    <w:rsid w:val="133C79D2"/>
    <w:rsid w:val="133D0420"/>
    <w:rsid w:val="13685340"/>
    <w:rsid w:val="139E0D62"/>
    <w:rsid w:val="13B47B12"/>
    <w:rsid w:val="13C133CE"/>
    <w:rsid w:val="13C609E5"/>
    <w:rsid w:val="13D053C0"/>
    <w:rsid w:val="13D11AB6"/>
    <w:rsid w:val="13E72709"/>
    <w:rsid w:val="13E946D3"/>
    <w:rsid w:val="142F5E9E"/>
    <w:rsid w:val="1437543F"/>
    <w:rsid w:val="143A2C0F"/>
    <w:rsid w:val="144640C6"/>
    <w:rsid w:val="144C111C"/>
    <w:rsid w:val="145C28CA"/>
    <w:rsid w:val="148C379B"/>
    <w:rsid w:val="148F527B"/>
    <w:rsid w:val="149D2304"/>
    <w:rsid w:val="14A94ED6"/>
    <w:rsid w:val="14D30A2D"/>
    <w:rsid w:val="1509282E"/>
    <w:rsid w:val="151412DC"/>
    <w:rsid w:val="152F61A1"/>
    <w:rsid w:val="153C6A85"/>
    <w:rsid w:val="15451DDD"/>
    <w:rsid w:val="156B7752"/>
    <w:rsid w:val="15A9411A"/>
    <w:rsid w:val="15DF7B3C"/>
    <w:rsid w:val="15F630D7"/>
    <w:rsid w:val="161517B0"/>
    <w:rsid w:val="162723DE"/>
    <w:rsid w:val="16493207"/>
    <w:rsid w:val="1659092A"/>
    <w:rsid w:val="167253EC"/>
    <w:rsid w:val="16783AEC"/>
    <w:rsid w:val="16925DB0"/>
    <w:rsid w:val="16A477CB"/>
    <w:rsid w:val="16A86180"/>
    <w:rsid w:val="16AE2FEC"/>
    <w:rsid w:val="16B03286"/>
    <w:rsid w:val="16E178E4"/>
    <w:rsid w:val="16E71FC1"/>
    <w:rsid w:val="17237EFC"/>
    <w:rsid w:val="17316B01"/>
    <w:rsid w:val="1732013F"/>
    <w:rsid w:val="17400AAE"/>
    <w:rsid w:val="17577BA6"/>
    <w:rsid w:val="176F4177"/>
    <w:rsid w:val="177E3384"/>
    <w:rsid w:val="179C380B"/>
    <w:rsid w:val="179D1A5D"/>
    <w:rsid w:val="17A032FB"/>
    <w:rsid w:val="17A32DEB"/>
    <w:rsid w:val="17B632B6"/>
    <w:rsid w:val="17CC592D"/>
    <w:rsid w:val="17F35B20"/>
    <w:rsid w:val="181F542F"/>
    <w:rsid w:val="183A54FD"/>
    <w:rsid w:val="183F4A00"/>
    <w:rsid w:val="18690202"/>
    <w:rsid w:val="18761ABB"/>
    <w:rsid w:val="18880066"/>
    <w:rsid w:val="18A84B5D"/>
    <w:rsid w:val="18B21538"/>
    <w:rsid w:val="18B2778A"/>
    <w:rsid w:val="18FF7B47"/>
    <w:rsid w:val="19080281"/>
    <w:rsid w:val="190E24E6"/>
    <w:rsid w:val="191B532F"/>
    <w:rsid w:val="192B6808"/>
    <w:rsid w:val="1936189B"/>
    <w:rsid w:val="19800D3B"/>
    <w:rsid w:val="19B401E1"/>
    <w:rsid w:val="19D46414"/>
    <w:rsid w:val="19D84FCE"/>
    <w:rsid w:val="19DF6ACE"/>
    <w:rsid w:val="1A041EBA"/>
    <w:rsid w:val="1A4531E3"/>
    <w:rsid w:val="1A4620A1"/>
    <w:rsid w:val="1A514D80"/>
    <w:rsid w:val="1A55661F"/>
    <w:rsid w:val="1A5A3C35"/>
    <w:rsid w:val="1A772A39"/>
    <w:rsid w:val="1A8C6350"/>
    <w:rsid w:val="1AC75FC3"/>
    <w:rsid w:val="1AE37131"/>
    <w:rsid w:val="1AF645FD"/>
    <w:rsid w:val="1B3B77E4"/>
    <w:rsid w:val="1B6815ED"/>
    <w:rsid w:val="1B830440"/>
    <w:rsid w:val="1B8847D2"/>
    <w:rsid w:val="1B95367F"/>
    <w:rsid w:val="1BC7354C"/>
    <w:rsid w:val="1BC872C4"/>
    <w:rsid w:val="1BDB6FF7"/>
    <w:rsid w:val="1BDD4B1E"/>
    <w:rsid w:val="1BE707FF"/>
    <w:rsid w:val="1BF14125"/>
    <w:rsid w:val="1BFA6573"/>
    <w:rsid w:val="1C085913"/>
    <w:rsid w:val="1C2A14F6"/>
    <w:rsid w:val="1C4050AC"/>
    <w:rsid w:val="1C69441A"/>
    <w:rsid w:val="1C7F1CB3"/>
    <w:rsid w:val="1CA522D9"/>
    <w:rsid w:val="1CA52338"/>
    <w:rsid w:val="1CA55B7C"/>
    <w:rsid w:val="1CAA0778"/>
    <w:rsid w:val="1CB735C0"/>
    <w:rsid w:val="1CC471AE"/>
    <w:rsid w:val="1CD2349E"/>
    <w:rsid w:val="1CDA72AF"/>
    <w:rsid w:val="1CE76D87"/>
    <w:rsid w:val="1CEB14BC"/>
    <w:rsid w:val="1D2A5927"/>
    <w:rsid w:val="1D2B18B9"/>
    <w:rsid w:val="1D2D5631"/>
    <w:rsid w:val="1D4913BD"/>
    <w:rsid w:val="1D510BDD"/>
    <w:rsid w:val="1D596426"/>
    <w:rsid w:val="1D5A0E3A"/>
    <w:rsid w:val="1D632713"/>
    <w:rsid w:val="1D6422C7"/>
    <w:rsid w:val="1D6A368E"/>
    <w:rsid w:val="1D766BDC"/>
    <w:rsid w:val="1D992CC6"/>
    <w:rsid w:val="1DAD0520"/>
    <w:rsid w:val="1DB775F0"/>
    <w:rsid w:val="1DF20628"/>
    <w:rsid w:val="1E19315B"/>
    <w:rsid w:val="1E205195"/>
    <w:rsid w:val="1E6A44A4"/>
    <w:rsid w:val="1E74728F"/>
    <w:rsid w:val="1E805C34"/>
    <w:rsid w:val="1EEC32CA"/>
    <w:rsid w:val="1F0A75DF"/>
    <w:rsid w:val="1F1D6218"/>
    <w:rsid w:val="1F372797"/>
    <w:rsid w:val="1F5350F7"/>
    <w:rsid w:val="1F5B1D47"/>
    <w:rsid w:val="1F6E3CDF"/>
    <w:rsid w:val="1F721A21"/>
    <w:rsid w:val="1F745799"/>
    <w:rsid w:val="1F7E25EF"/>
    <w:rsid w:val="1F9B47B9"/>
    <w:rsid w:val="1FAB4F33"/>
    <w:rsid w:val="1FBC0EEE"/>
    <w:rsid w:val="1FC6454E"/>
    <w:rsid w:val="1FC7371A"/>
    <w:rsid w:val="1FEC5ECB"/>
    <w:rsid w:val="20140D2A"/>
    <w:rsid w:val="20222011"/>
    <w:rsid w:val="202F6352"/>
    <w:rsid w:val="20337402"/>
    <w:rsid w:val="2039291F"/>
    <w:rsid w:val="20436F19"/>
    <w:rsid w:val="20484BBE"/>
    <w:rsid w:val="204F3B10"/>
    <w:rsid w:val="208C005D"/>
    <w:rsid w:val="20C229C0"/>
    <w:rsid w:val="20C97ED9"/>
    <w:rsid w:val="20D81349"/>
    <w:rsid w:val="20E55E2F"/>
    <w:rsid w:val="20EC75B1"/>
    <w:rsid w:val="20ED7805"/>
    <w:rsid w:val="210112AE"/>
    <w:rsid w:val="210558C2"/>
    <w:rsid w:val="21532BAD"/>
    <w:rsid w:val="217557F8"/>
    <w:rsid w:val="217C49BB"/>
    <w:rsid w:val="218872DA"/>
    <w:rsid w:val="218B6DCA"/>
    <w:rsid w:val="218C6E3D"/>
    <w:rsid w:val="21945860"/>
    <w:rsid w:val="21995341"/>
    <w:rsid w:val="21CB5418"/>
    <w:rsid w:val="21D249F9"/>
    <w:rsid w:val="22032E04"/>
    <w:rsid w:val="2207790D"/>
    <w:rsid w:val="221768AF"/>
    <w:rsid w:val="222114DC"/>
    <w:rsid w:val="223236E9"/>
    <w:rsid w:val="22396826"/>
    <w:rsid w:val="22446BAA"/>
    <w:rsid w:val="22455FE6"/>
    <w:rsid w:val="224D5C42"/>
    <w:rsid w:val="2254194F"/>
    <w:rsid w:val="22761828"/>
    <w:rsid w:val="228A4985"/>
    <w:rsid w:val="22AA7723"/>
    <w:rsid w:val="22B83F02"/>
    <w:rsid w:val="22ED69EA"/>
    <w:rsid w:val="22EE453F"/>
    <w:rsid w:val="22EE7610"/>
    <w:rsid w:val="22F12BB1"/>
    <w:rsid w:val="22F62969"/>
    <w:rsid w:val="22FB5429"/>
    <w:rsid w:val="2310636A"/>
    <w:rsid w:val="232C4D98"/>
    <w:rsid w:val="2342170A"/>
    <w:rsid w:val="234601E5"/>
    <w:rsid w:val="23582CDC"/>
    <w:rsid w:val="23694EE9"/>
    <w:rsid w:val="239F6B5C"/>
    <w:rsid w:val="23B730DE"/>
    <w:rsid w:val="23CD4557"/>
    <w:rsid w:val="23E34C9B"/>
    <w:rsid w:val="23E40A13"/>
    <w:rsid w:val="23F36750"/>
    <w:rsid w:val="24210324"/>
    <w:rsid w:val="2446522A"/>
    <w:rsid w:val="2455281A"/>
    <w:rsid w:val="246045ED"/>
    <w:rsid w:val="24657809"/>
    <w:rsid w:val="246D2675"/>
    <w:rsid w:val="24823E6B"/>
    <w:rsid w:val="24853FA4"/>
    <w:rsid w:val="2495748E"/>
    <w:rsid w:val="24A106B2"/>
    <w:rsid w:val="24B67B3D"/>
    <w:rsid w:val="24D665AE"/>
    <w:rsid w:val="24E25E51"/>
    <w:rsid w:val="25237226"/>
    <w:rsid w:val="252F4ED5"/>
    <w:rsid w:val="25370163"/>
    <w:rsid w:val="256C2A6E"/>
    <w:rsid w:val="256E6332"/>
    <w:rsid w:val="258778A8"/>
    <w:rsid w:val="259A3E20"/>
    <w:rsid w:val="25B21E25"/>
    <w:rsid w:val="25C66D46"/>
    <w:rsid w:val="25E25A28"/>
    <w:rsid w:val="25E82A3D"/>
    <w:rsid w:val="25EE7927"/>
    <w:rsid w:val="25F22003"/>
    <w:rsid w:val="25F27417"/>
    <w:rsid w:val="25F5515A"/>
    <w:rsid w:val="260333D3"/>
    <w:rsid w:val="26143211"/>
    <w:rsid w:val="26227012"/>
    <w:rsid w:val="262779DE"/>
    <w:rsid w:val="263076F8"/>
    <w:rsid w:val="265C7F5D"/>
    <w:rsid w:val="266F0A68"/>
    <w:rsid w:val="26764466"/>
    <w:rsid w:val="267A7F87"/>
    <w:rsid w:val="26914E82"/>
    <w:rsid w:val="2694441D"/>
    <w:rsid w:val="26A336EE"/>
    <w:rsid w:val="26A34BB6"/>
    <w:rsid w:val="26DB60FD"/>
    <w:rsid w:val="26DF78F1"/>
    <w:rsid w:val="26EF7DFB"/>
    <w:rsid w:val="272555CB"/>
    <w:rsid w:val="272600FD"/>
    <w:rsid w:val="273B6E85"/>
    <w:rsid w:val="277D7431"/>
    <w:rsid w:val="279F712B"/>
    <w:rsid w:val="27A209C9"/>
    <w:rsid w:val="27A6495D"/>
    <w:rsid w:val="27A72484"/>
    <w:rsid w:val="27A75FE0"/>
    <w:rsid w:val="27CC2BDC"/>
    <w:rsid w:val="281713B7"/>
    <w:rsid w:val="28445F24"/>
    <w:rsid w:val="2847130A"/>
    <w:rsid w:val="28553C8E"/>
    <w:rsid w:val="287D246D"/>
    <w:rsid w:val="287F54F5"/>
    <w:rsid w:val="28940C5A"/>
    <w:rsid w:val="28AD3E28"/>
    <w:rsid w:val="28C31174"/>
    <w:rsid w:val="28CF1C92"/>
    <w:rsid w:val="28DD30B6"/>
    <w:rsid w:val="28E05C4D"/>
    <w:rsid w:val="28E76FDC"/>
    <w:rsid w:val="28F416F8"/>
    <w:rsid w:val="29037B8D"/>
    <w:rsid w:val="291F73DA"/>
    <w:rsid w:val="293E7913"/>
    <w:rsid w:val="295C2DFA"/>
    <w:rsid w:val="295D1957"/>
    <w:rsid w:val="296F5B09"/>
    <w:rsid w:val="29944785"/>
    <w:rsid w:val="29B64C00"/>
    <w:rsid w:val="29D530A8"/>
    <w:rsid w:val="29E11C7D"/>
    <w:rsid w:val="29E4176D"/>
    <w:rsid w:val="2A186343"/>
    <w:rsid w:val="2A337FFE"/>
    <w:rsid w:val="2A6729B3"/>
    <w:rsid w:val="2A677CA8"/>
    <w:rsid w:val="2A6B1546"/>
    <w:rsid w:val="2A716921"/>
    <w:rsid w:val="2A7921DC"/>
    <w:rsid w:val="2A7D127A"/>
    <w:rsid w:val="2A946DAB"/>
    <w:rsid w:val="2A9817E1"/>
    <w:rsid w:val="2A9B72D8"/>
    <w:rsid w:val="2AA64C74"/>
    <w:rsid w:val="2AB50683"/>
    <w:rsid w:val="2AB56C65"/>
    <w:rsid w:val="2ABF1892"/>
    <w:rsid w:val="2AFC7A2B"/>
    <w:rsid w:val="2B1020EE"/>
    <w:rsid w:val="2B103916"/>
    <w:rsid w:val="2B1E480B"/>
    <w:rsid w:val="2B245B48"/>
    <w:rsid w:val="2B2F4C6A"/>
    <w:rsid w:val="2B42499D"/>
    <w:rsid w:val="2B616985"/>
    <w:rsid w:val="2B755068"/>
    <w:rsid w:val="2B822FEC"/>
    <w:rsid w:val="2B911481"/>
    <w:rsid w:val="2BB7355A"/>
    <w:rsid w:val="2BBD2276"/>
    <w:rsid w:val="2BC929C8"/>
    <w:rsid w:val="2BFC58C3"/>
    <w:rsid w:val="2C3A1B18"/>
    <w:rsid w:val="2C531232"/>
    <w:rsid w:val="2C6D392C"/>
    <w:rsid w:val="2C701096"/>
    <w:rsid w:val="2C770676"/>
    <w:rsid w:val="2C7C3EDF"/>
    <w:rsid w:val="2CBA6554"/>
    <w:rsid w:val="2CBB6EFB"/>
    <w:rsid w:val="2CBC077F"/>
    <w:rsid w:val="2CD77367"/>
    <w:rsid w:val="2CF972DD"/>
    <w:rsid w:val="2D085772"/>
    <w:rsid w:val="2D19172E"/>
    <w:rsid w:val="2D350E15"/>
    <w:rsid w:val="2D412A32"/>
    <w:rsid w:val="2D5409B8"/>
    <w:rsid w:val="2D615766"/>
    <w:rsid w:val="2D7626DC"/>
    <w:rsid w:val="2D81006B"/>
    <w:rsid w:val="2D810687"/>
    <w:rsid w:val="2DB72CF5"/>
    <w:rsid w:val="2DC76A8C"/>
    <w:rsid w:val="2DD81E3C"/>
    <w:rsid w:val="2DEE2158"/>
    <w:rsid w:val="2DF02AE0"/>
    <w:rsid w:val="2E093550"/>
    <w:rsid w:val="2E2959A0"/>
    <w:rsid w:val="2E5D248F"/>
    <w:rsid w:val="2E6B5FB9"/>
    <w:rsid w:val="2ED95618"/>
    <w:rsid w:val="2F0F2DE8"/>
    <w:rsid w:val="2F2C1457"/>
    <w:rsid w:val="2F5702EB"/>
    <w:rsid w:val="2F5C052C"/>
    <w:rsid w:val="2F650C5A"/>
    <w:rsid w:val="2F6F1AD9"/>
    <w:rsid w:val="2FCA0BBC"/>
    <w:rsid w:val="2FF26266"/>
    <w:rsid w:val="302F3ACA"/>
    <w:rsid w:val="30350F9F"/>
    <w:rsid w:val="303D1BD7"/>
    <w:rsid w:val="30444D13"/>
    <w:rsid w:val="304C5976"/>
    <w:rsid w:val="30556F21"/>
    <w:rsid w:val="30647164"/>
    <w:rsid w:val="307777B8"/>
    <w:rsid w:val="307A753E"/>
    <w:rsid w:val="30B73737"/>
    <w:rsid w:val="30F9716D"/>
    <w:rsid w:val="31241A8C"/>
    <w:rsid w:val="3126064B"/>
    <w:rsid w:val="312F6B87"/>
    <w:rsid w:val="313B58DE"/>
    <w:rsid w:val="3166515D"/>
    <w:rsid w:val="317C228B"/>
    <w:rsid w:val="317D78BE"/>
    <w:rsid w:val="31B639EF"/>
    <w:rsid w:val="31C0486E"/>
    <w:rsid w:val="31E602A8"/>
    <w:rsid w:val="3201456F"/>
    <w:rsid w:val="320A3657"/>
    <w:rsid w:val="32116E77"/>
    <w:rsid w:val="321F302D"/>
    <w:rsid w:val="322272D6"/>
    <w:rsid w:val="322A7F39"/>
    <w:rsid w:val="322C3CB1"/>
    <w:rsid w:val="3234700A"/>
    <w:rsid w:val="323C02EE"/>
    <w:rsid w:val="32587AB1"/>
    <w:rsid w:val="325E2A03"/>
    <w:rsid w:val="326319F4"/>
    <w:rsid w:val="32B9241F"/>
    <w:rsid w:val="32C4213C"/>
    <w:rsid w:val="32F24AA0"/>
    <w:rsid w:val="32F80037"/>
    <w:rsid w:val="32F8332E"/>
    <w:rsid w:val="3334643D"/>
    <w:rsid w:val="337A2295"/>
    <w:rsid w:val="338D4C23"/>
    <w:rsid w:val="33977776"/>
    <w:rsid w:val="33BE39A7"/>
    <w:rsid w:val="33EC194A"/>
    <w:rsid w:val="33FE78CF"/>
    <w:rsid w:val="340E3A5C"/>
    <w:rsid w:val="34232E92"/>
    <w:rsid w:val="343D600A"/>
    <w:rsid w:val="344572AC"/>
    <w:rsid w:val="345A3DD4"/>
    <w:rsid w:val="345B087E"/>
    <w:rsid w:val="34B571C4"/>
    <w:rsid w:val="34CE2DFE"/>
    <w:rsid w:val="34DA5971"/>
    <w:rsid w:val="34DB376C"/>
    <w:rsid w:val="34DD2C04"/>
    <w:rsid w:val="34F80A3E"/>
    <w:rsid w:val="35120ECE"/>
    <w:rsid w:val="35155971"/>
    <w:rsid w:val="352B52D7"/>
    <w:rsid w:val="35303ACB"/>
    <w:rsid w:val="35337189"/>
    <w:rsid w:val="353E4427"/>
    <w:rsid w:val="35411821"/>
    <w:rsid w:val="35921834"/>
    <w:rsid w:val="359948F0"/>
    <w:rsid w:val="359F0C3E"/>
    <w:rsid w:val="35A10512"/>
    <w:rsid w:val="35EB3E83"/>
    <w:rsid w:val="35F246ED"/>
    <w:rsid w:val="361B6516"/>
    <w:rsid w:val="36285BF5"/>
    <w:rsid w:val="36340217"/>
    <w:rsid w:val="36362163"/>
    <w:rsid w:val="36371B80"/>
    <w:rsid w:val="367F02DC"/>
    <w:rsid w:val="3680281D"/>
    <w:rsid w:val="36960F66"/>
    <w:rsid w:val="36AF3103"/>
    <w:rsid w:val="36B84646"/>
    <w:rsid w:val="36C33F92"/>
    <w:rsid w:val="36CF10AF"/>
    <w:rsid w:val="372862D6"/>
    <w:rsid w:val="373D3D67"/>
    <w:rsid w:val="37496826"/>
    <w:rsid w:val="374C14FE"/>
    <w:rsid w:val="37661A13"/>
    <w:rsid w:val="37971BCD"/>
    <w:rsid w:val="37B2470D"/>
    <w:rsid w:val="37DB3AD3"/>
    <w:rsid w:val="37F52D97"/>
    <w:rsid w:val="37FA67A4"/>
    <w:rsid w:val="381A410A"/>
    <w:rsid w:val="383438BF"/>
    <w:rsid w:val="38572CB0"/>
    <w:rsid w:val="38585261"/>
    <w:rsid w:val="38601BB6"/>
    <w:rsid w:val="38944A2F"/>
    <w:rsid w:val="38A24CCD"/>
    <w:rsid w:val="38A7646A"/>
    <w:rsid w:val="39294987"/>
    <w:rsid w:val="393D6146"/>
    <w:rsid w:val="39400042"/>
    <w:rsid w:val="394538AA"/>
    <w:rsid w:val="39513FFD"/>
    <w:rsid w:val="39615E39"/>
    <w:rsid w:val="3971644D"/>
    <w:rsid w:val="397572CA"/>
    <w:rsid w:val="39846181"/>
    <w:rsid w:val="39A93E39"/>
    <w:rsid w:val="39B5458C"/>
    <w:rsid w:val="39CB0253"/>
    <w:rsid w:val="39D634D8"/>
    <w:rsid w:val="3A2D189D"/>
    <w:rsid w:val="3A377859"/>
    <w:rsid w:val="3A4206A3"/>
    <w:rsid w:val="3A435757"/>
    <w:rsid w:val="3A6D4E67"/>
    <w:rsid w:val="3A7F7D10"/>
    <w:rsid w:val="3A9E3272"/>
    <w:rsid w:val="3AB605BC"/>
    <w:rsid w:val="3ACA37D1"/>
    <w:rsid w:val="3AFC422E"/>
    <w:rsid w:val="3B0C0B24"/>
    <w:rsid w:val="3B190B4B"/>
    <w:rsid w:val="3B20637D"/>
    <w:rsid w:val="3B702E61"/>
    <w:rsid w:val="3B7237AC"/>
    <w:rsid w:val="3B7F18AC"/>
    <w:rsid w:val="3B9F72C7"/>
    <w:rsid w:val="3BA16B24"/>
    <w:rsid w:val="3BB16FD5"/>
    <w:rsid w:val="3BB645EB"/>
    <w:rsid w:val="3BF07AFD"/>
    <w:rsid w:val="3BF82E56"/>
    <w:rsid w:val="3C0A5DEE"/>
    <w:rsid w:val="3C2459F9"/>
    <w:rsid w:val="3C420EB7"/>
    <w:rsid w:val="3C666012"/>
    <w:rsid w:val="3C722763"/>
    <w:rsid w:val="3CAD3C40"/>
    <w:rsid w:val="3CB41415"/>
    <w:rsid w:val="3CB90837"/>
    <w:rsid w:val="3D0641F3"/>
    <w:rsid w:val="3D18555E"/>
    <w:rsid w:val="3D191517"/>
    <w:rsid w:val="3D3305EA"/>
    <w:rsid w:val="3D663493"/>
    <w:rsid w:val="3D7529B0"/>
    <w:rsid w:val="3DA768E2"/>
    <w:rsid w:val="3DC64D7C"/>
    <w:rsid w:val="3DC655A4"/>
    <w:rsid w:val="3DDC3928"/>
    <w:rsid w:val="3DDD67A7"/>
    <w:rsid w:val="3DE03BA2"/>
    <w:rsid w:val="3DEE01D0"/>
    <w:rsid w:val="3E3D6AD6"/>
    <w:rsid w:val="3E3E013F"/>
    <w:rsid w:val="3E481E73"/>
    <w:rsid w:val="3E611186"/>
    <w:rsid w:val="3E7A3FF6"/>
    <w:rsid w:val="3E906080"/>
    <w:rsid w:val="3E9C21BE"/>
    <w:rsid w:val="3EAE5A4E"/>
    <w:rsid w:val="3EC60EFC"/>
    <w:rsid w:val="3EC60FE9"/>
    <w:rsid w:val="3ECA6D2C"/>
    <w:rsid w:val="3F0702B0"/>
    <w:rsid w:val="3F1C50AD"/>
    <w:rsid w:val="3F1E3B0A"/>
    <w:rsid w:val="3F355394"/>
    <w:rsid w:val="3F395C2F"/>
    <w:rsid w:val="3F3C4DFA"/>
    <w:rsid w:val="3F485EA2"/>
    <w:rsid w:val="3F491C06"/>
    <w:rsid w:val="3F4E170B"/>
    <w:rsid w:val="3F781338"/>
    <w:rsid w:val="3F9F1721"/>
    <w:rsid w:val="3FA325F5"/>
    <w:rsid w:val="3FB86B84"/>
    <w:rsid w:val="3FBD063E"/>
    <w:rsid w:val="3FC03C8B"/>
    <w:rsid w:val="3FD741B2"/>
    <w:rsid w:val="3FEB6F5A"/>
    <w:rsid w:val="400071F5"/>
    <w:rsid w:val="40104C12"/>
    <w:rsid w:val="401D2FE0"/>
    <w:rsid w:val="40224945"/>
    <w:rsid w:val="4033445D"/>
    <w:rsid w:val="40462055"/>
    <w:rsid w:val="4047242C"/>
    <w:rsid w:val="404C03C4"/>
    <w:rsid w:val="4055491A"/>
    <w:rsid w:val="405A3224"/>
    <w:rsid w:val="406C0189"/>
    <w:rsid w:val="406F3C61"/>
    <w:rsid w:val="40730CFD"/>
    <w:rsid w:val="407E22C6"/>
    <w:rsid w:val="40BC651B"/>
    <w:rsid w:val="40BF5EB8"/>
    <w:rsid w:val="40D138EE"/>
    <w:rsid w:val="40D52E0F"/>
    <w:rsid w:val="40DD1F1C"/>
    <w:rsid w:val="411A51A9"/>
    <w:rsid w:val="41202C33"/>
    <w:rsid w:val="41236C02"/>
    <w:rsid w:val="41270465"/>
    <w:rsid w:val="41456B3D"/>
    <w:rsid w:val="414D14E3"/>
    <w:rsid w:val="41530ED3"/>
    <w:rsid w:val="41554571"/>
    <w:rsid w:val="415A0489"/>
    <w:rsid w:val="41A35612"/>
    <w:rsid w:val="41B737CF"/>
    <w:rsid w:val="41BD0482"/>
    <w:rsid w:val="41BE1878"/>
    <w:rsid w:val="4205007B"/>
    <w:rsid w:val="422C3ED0"/>
    <w:rsid w:val="42716027"/>
    <w:rsid w:val="42816275"/>
    <w:rsid w:val="42973DA4"/>
    <w:rsid w:val="42A41642"/>
    <w:rsid w:val="42AB72E7"/>
    <w:rsid w:val="42C615B8"/>
    <w:rsid w:val="42D44D73"/>
    <w:rsid w:val="42FA5706"/>
    <w:rsid w:val="43197979"/>
    <w:rsid w:val="431C742A"/>
    <w:rsid w:val="4320468B"/>
    <w:rsid w:val="43234D3C"/>
    <w:rsid w:val="432D5E3A"/>
    <w:rsid w:val="437234EE"/>
    <w:rsid w:val="43744EEF"/>
    <w:rsid w:val="437D5020"/>
    <w:rsid w:val="43896503"/>
    <w:rsid w:val="43943464"/>
    <w:rsid w:val="43982CD1"/>
    <w:rsid w:val="439B47F3"/>
    <w:rsid w:val="43B34232"/>
    <w:rsid w:val="43D67F21"/>
    <w:rsid w:val="440F0D0B"/>
    <w:rsid w:val="441460D4"/>
    <w:rsid w:val="44156A47"/>
    <w:rsid w:val="441A33DA"/>
    <w:rsid w:val="442746FA"/>
    <w:rsid w:val="444005E8"/>
    <w:rsid w:val="444B1DA6"/>
    <w:rsid w:val="445B5F08"/>
    <w:rsid w:val="44AF4C2F"/>
    <w:rsid w:val="44B1402F"/>
    <w:rsid w:val="44C0714F"/>
    <w:rsid w:val="44C27B28"/>
    <w:rsid w:val="44C81ABF"/>
    <w:rsid w:val="44E644B0"/>
    <w:rsid w:val="44EB6D91"/>
    <w:rsid w:val="44FC5F61"/>
    <w:rsid w:val="45615687"/>
    <w:rsid w:val="457F63EC"/>
    <w:rsid w:val="458319E2"/>
    <w:rsid w:val="458710F5"/>
    <w:rsid w:val="45965BB9"/>
    <w:rsid w:val="459B4F7E"/>
    <w:rsid w:val="459D6A7C"/>
    <w:rsid w:val="45D61170"/>
    <w:rsid w:val="45F6197E"/>
    <w:rsid w:val="45F63646"/>
    <w:rsid w:val="462E7BA0"/>
    <w:rsid w:val="46357180"/>
    <w:rsid w:val="46431172"/>
    <w:rsid w:val="46454EEA"/>
    <w:rsid w:val="46601D24"/>
    <w:rsid w:val="46782BE2"/>
    <w:rsid w:val="46875502"/>
    <w:rsid w:val="46AA3092"/>
    <w:rsid w:val="46C167DF"/>
    <w:rsid w:val="46CE1383"/>
    <w:rsid w:val="46EC35B7"/>
    <w:rsid w:val="46F5121E"/>
    <w:rsid w:val="46FF32EA"/>
    <w:rsid w:val="47064C0B"/>
    <w:rsid w:val="47186128"/>
    <w:rsid w:val="47186FEA"/>
    <w:rsid w:val="471B1DCB"/>
    <w:rsid w:val="47571378"/>
    <w:rsid w:val="47605F31"/>
    <w:rsid w:val="476F0D8E"/>
    <w:rsid w:val="47826014"/>
    <w:rsid w:val="478D08F6"/>
    <w:rsid w:val="47CD5197"/>
    <w:rsid w:val="47D429C9"/>
    <w:rsid w:val="47DB5B06"/>
    <w:rsid w:val="47E66258"/>
    <w:rsid w:val="47EE60C9"/>
    <w:rsid w:val="4800731A"/>
    <w:rsid w:val="48223734"/>
    <w:rsid w:val="4845019B"/>
    <w:rsid w:val="485D651B"/>
    <w:rsid w:val="48AC74A2"/>
    <w:rsid w:val="48B30830"/>
    <w:rsid w:val="48C50107"/>
    <w:rsid w:val="48F6071D"/>
    <w:rsid w:val="48F84495"/>
    <w:rsid w:val="490A0B52"/>
    <w:rsid w:val="49433483"/>
    <w:rsid w:val="49591996"/>
    <w:rsid w:val="49926698"/>
    <w:rsid w:val="49A21DA1"/>
    <w:rsid w:val="49BB5BEF"/>
    <w:rsid w:val="49E60BD3"/>
    <w:rsid w:val="4A325785"/>
    <w:rsid w:val="4A363423"/>
    <w:rsid w:val="4A3E237C"/>
    <w:rsid w:val="4A8F4985"/>
    <w:rsid w:val="4AAF3576"/>
    <w:rsid w:val="4AB80380"/>
    <w:rsid w:val="4ABB1C1E"/>
    <w:rsid w:val="4AC42881"/>
    <w:rsid w:val="4ACE1E34"/>
    <w:rsid w:val="4B1530DD"/>
    <w:rsid w:val="4B1E38A5"/>
    <w:rsid w:val="4B2C6678"/>
    <w:rsid w:val="4B3441ED"/>
    <w:rsid w:val="4B3562FD"/>
    <w:rsid w:val="4B5160DF"/>
    <w:rsid w:val="4B863FDA"/>
    <w:rsid w:val="4B977F95"/>
    <w:rsid w:val="4B9C55AC"/>
    <w:rsid w:val="4BA3693A"/>
    <w:rsid w:val="4BA7798F"/>
    <w:rsid w:val="4BAB3A41"/>
    <w:rsid w:val="4BE313B9"/>
    <w:rsid w:val="4BE817B1"/>
    <w:rsid w:val="4C0E76E1"/>
    <w:rsid w:val="4C39104D"/>
    <w:rsid w:val="4C8113DE"/>
    <w:rsid w:val="4C8D3892"/>
    <w:rsid w:val="4C8F6EBF"/>
    <w:rsid w:val="4CBA3D8D"/>
    <w:rsid w:val="4CCE18B8"/>
    <w:rsid w:val="4CDA043F"/>
    <w:rsid w:val="4CF5766A"/>
    <w:rsid w:val="4D24054E"/>
    <w:rsid w:val="4D3D4B6D"/>
    <w:rsid w:val="4D4E3730"/>
    <w:rsid w:val="4D5325E2"/>
    <w:rsid w:val="4D5912F9"/>
    <w:rsid w:val="4D5A3970"/>
    <w:rsid w:val="4D5C3245"/>
    <w:rsid w:val="4D844549"/>
    <w:rsid w:val="4DD272FB"/>
    <w:rsid w:val="4DD97EAE"/>
    <w:rsid w:val="4DEB5934"/>
    <w:rsid w:val="4DED0341"/>
    <w:rsid w:val="4E01301A"/>
    <w:rsid w:val="4E0624F5"/>
    <w:rsid w:val="4E0D09E3"/>
    <w:rsid w:val="4E10402F"/>
    <w:rsid w:val="4E127DA7"/>
    <w:rsid w:val="4E191136"/>
    <w:rsid w:val="4E257ADB"/>
    <w:rsid w:val="4E506093"/>
    <w:rsid w:val="4E926165"/>
    <w:rsid w:val="4E9B1B4B"/>
    <w:rsid w:val="4EBE1CDD"/>
    <w:rsid w:val="4F0B1812"/>
    <w:rsid w:val="4F13422F"/>
    <w:rsid w:val="4F2E34A9"/>
    <w:rsid w:val="4F3446D5"/>
    <w:rsid w:val="4F67508E"/>
    <w:rsid w:val="4F680CEB"/>
    <w:rsid w:val="4F9F1B0F"/>
    <w:rsid w:val="4FA03191"/>
    <w:rsid w:val="4FA964E9"/>
    <w:rsid w:val="4FB818A0"/>
    <w:rsid w:val="4FD035BF"/>
    <w:rsid w:val="4FDA6E22"/>
    <w:rsid w:val="4FF56860"/>
    <w:rsid w:val="502344EE"/>
    <w:rsid w:val="50597F0F"/>
    <w:rsid w:val="50A0169A"/>
    <w:rsid w:val="50CF3D2E"/>
    <w:rsid w:val="50DD28EE"/>
    <w:rsid w:val="510076CE"/>
    <w:rsid w:val="51121E6C"/>
    <w:rsid w:val="51244F57"/>
    <w:rsid w:val="512D597F"/>
    <w:rsid w:val="51340035"/>
    <w:rsid w:val="51361FFF"/>
    <w:rsid w:val="515E007F"/>
    <w:rsid w:val="519C4558"/>
    <w:rsid w:val="519D3E2C"/>
    <w:rsid w:val="51A5108F"/>
    <w:rsid w:val="51CE0489"/>
    <w:rsid w:val="51D07D5D"/>
    <w:rsid w:val="51D1136A"/>
    <w:rsid w:val="51F37EF0"/>
    <w:rsid w:val="521934BC"/>
    <w:rsid w:val="52241048"/>
    <w:rsid w:val="523A78CD"/>
    <w:rsid w:val="5248023B"/>
    <w:rsid w:val="525372CF"/>
    <w:rsid w:val="52636E23"/>
    <w:rsid w:val="526D5F85"/>
    <w:rsid w:val="52950FA7"/>
    <w:rsid w:val="52A907F9"/>
    <w:rsid w:val="52BE04FE"/>
    <w:rsid w:val="52C23008"/>
    <w:rsid w:val="52F05F79"/>
    <w:rsid w:val="53191B38"/>
    <w:rsid w:val="5345477B"/>
    <w:rsid w:val="535F5FA4"/>
    <w:rsid w:val="537E5FE4"/>
    <w:rsid w:val="538B4884"/>
    <w:rsid w:val="539E42B0"/>
    <w:rsid w:val="53B26219"/>
    <w:rsid w:val="53B939D8"/>
    <w:rsid w:val="53BF6F62"/>
    <w:rsid w:val="53D224B3"/>
    <w:rsid w:val="53E90687"/>
    <w:rsid w:val="53EB6B20"/>
    <w:rsid w:val="54063F0A"/>
    <w:rsid w:val="54280345"/>
    <w:rsid w:val="543A3E00"/>
    <w:rsid w:val="543E4FA0"/>
    <w:rsid w:val="54423534"/>
    <w:rsid w:val="54465448"/>
    <w:rsid w:val="54683728"/>
    <w:rsid w:val="547F78DD"/>
    <w:rsid w:val="548D0188"/>
    <w:rsid w:val="54900E8D"/>
    <w:rsid w:val="54FD643F"/>
    <w:rsid w:val="552E31B7"/>
    <w:rsid w:val="553700F3"/>
    <w:rsid w:val="553B550A"/>
    <w:rsid w:val="555B64D8"/>
    <w:rsid w:val="555F30A6"/>
    <w:rsid w:val="55766E6E"/>
    <w:rsid w:val="558477DD"/>
    <w:rsid w:val="55853555"/>
    <w:rsid w:val="55A03AE9"/>
    <w:rsid w:val="55C177C0"/>
    <w:rsid w:val="55EB13F3"/>
    <w:rsid w:val="55F156F0"/>
    <w:rsid w:val="561337A8"/>
    <w:rsid w:val="563665FD"/>
    <w:rsid w:val="5642396D"/>
    <w:rsid w:val="564B4A65"/>
    <w:rsid w:val="565F1535"/>
    <w:rsid w:val="566B44F9"/>
    <w:rsid w:val="567D5FDA"/>
    <w:rsid w:val="5698680F"/>
    <w:rsid w:val="56BE0ACC"/>
    <w:rsid w:val="56C1680E"/>
    <w:rsid w:val="56D025AE"/>
    <w:rsid w:val="56F40214"/>
    <w:rsid w:val="56F625F3"/>
    <w:rsid w:val="570A1F63"/>
    <w:rsid w:val="57491CAE"/>
    <w:rsid w:val="57536629"/>
    <w:rsid w:val="576511D6"/>
    <w:rsid w:val="57914645"/>
    <w:rsid w:val="579E0AAB"/>
    <w:rsid w:val="57DE0CFA"/>
    <w:rsid w:val="57F4051E"/>
    <w:rsid w:val="580E7831"/>
    <w:rsid w:val="5814512D"/>
    <w:rsid w:val="583E1656"/>
    <w:rsid w:val="58592953"/>
    <w:rsid w:val="5864015B"/>
    <w:rsid w:val="586616DC"/>
    <w:rsid w:val="58705DF6"/>
    <w:rsid w:val="58713D04"/>
    <w:rsid w:val="588B70D4"/>
    <w:rsid w:val="58AB32D2"/>
    <w:rsid w:val="58F015D0"/>
    <w:rsid w:val="58FA7DB6"/>
    <w:rsid w:val="591D1071"/>
    <w:rsid w:val="59303259"/>
    <w:rsid w:val="594F0101"/>
    <w:rsid w:val="59590F80"/>
    <w:rsid w:val="59604265"/>
    <w:rsid w:val="59975605"/>
    <w:rsid w:val="5A120C62"/>
    <w:rsid w:val="5A292701"/>
    <w:rsid w:val="5A3B2434"/>
    <w:rsid w:val="5A5022BD"/>
    <w:rsid w:val="5A517EA9"/>
    <w:rsid w:val="5A5B3B24"/>
    <w:rsid w:val="5A6C083F"/>
    <w:rsid w:val="5A6F1FB4"/>
    <w:rsid w:val="5A9B72B4"/>
    <w:rsid w:val="5ABB564D"/>
    <w:rsid w:val="5AFB2832"/>
    <w:rsid w:val="5B3B27B6"/>
    <w:rsid w:val="5B4B17C0"/>
    <w:rsid w:val="5B601D6D"/>
    <w:rsid w:val="5B751975"/>
    <w:rsid w:val="5B7756EE"/>
    <w:rsid w:val="5B9B762E"/>
    <w:rsid w:val="5BA504AD"/>
    <w:rsid w:val="5BA65FD3"/>
    <w:rsid w:val="5BAA5AC3"/>
    <w:rsid w:val="5BAF4251"/>
    <w:rsid w:val="5BE2525D"/>
    <w:rsid w:val="5BFB1E7B"/>
    <w:rsid w:val="5C05333F"/>
    <w:rsid w:val="5C0B2BAE"/>
    <w:rsid w:val="5C133668"/>
    <w:rsid w:val="5C147D7A"/>
    <w:rsid w:val="5C3929A3"/>
    <w:rsid w:val="5C76618F"/>
    <w:rsid w:val="5CAB1AF3"/>
    <w:rsid w:val="5CDD5A24"/>
    <w:rsid w:val="5CF8285E"/>
    <w:rsid w:val="5D137698"/>
    <w:rsid w:val="5D3A69D3"/>
    <w:rsid w:val="5D465377"/>
    <w:rsid w:val="5D5B2CD0"/>
    <w:rsid w:val="5D6D0B56"/>
    <w:rsid w:val="5D850596"/>
    <w:rsid w:val="5D885990"/>
    <w:rsid w:val="5D995DEF"/>
    <w:rsid w:val="5DA6468D"/>
    <w:rsid w:val="5DB0556D"/>
    <w:rsid w:val="5DB74A9E"/>
    <w:rsid w:val="5DC6470A"/>
    <w:rsid w:val="5DD204DF"/>
    <w:rsid w:val="5DF40E0F"/>
    <w:rsid w:val="5DFA0093"/>
    <w:rsid w:val="5DFC2C8F"/>
    <w:rsid w:val="5E01104D"/>
    <w:rsid w:val="5E062D59"/>
    <w:rsid w:val="5E1A6CE7"/>
    <w:rsid w:val="5E1B5CD3"/>
    <w:rsid w:val="5E223F57"/>
    <w:rsid w:val="5E2A2EEB"/>
    <w:rsid w:val="5E587A58"/>
    <w:rsid w:val="5E627290"/>
    <w:rsid w:val="5E6957C1"/>
    <w:rsid w:val="5EB50A07"/>
    <w:rsid w:val="5EC23124"/>
    <w:rsid w:val="5ED546B7"/>
    <w:rsid w:val="5EFE66C0"/>
    <w:rsid w:val="5F0B5F2D"/>
    <w:rsid w:val="5F135961"/>
    <w:rsid w:val="5F465B03"/>
    <w:rsid w:val="5F487ACD"/>
    <w:rsid w:val="5F571ABE"/>
    <w:rsid w:val="5F9C345C"/>
    <w:rsid w:val="5FA263AE"/>
    <w:rsid w:val="5FAD16DE"/>
    <w:rsid w:val="5FE07D05"/>
    <w:rsid w:val="60067477"/>
    <w:rsid w:val="60482335"/>
    <w:rsid w:val="6065020A"/>
    <w:rsid w:val="609B2D54"/>
    <w:rsid w:val="60A627C4"/>
    <w:rsid w:val="60A71236"/>
    <w:rsid w:val="60C018E5"/>
    <w:rsid w:val="60C74A21"/>
    <w:rsid w:val="60F31CBA"/>
    <w:rsid w:val="611C6BE0"/>
    <w:rsid w:val="612420EF"/>
    <w:rsid w:val="613C37A2"/>
    <w:rsid w:val="615269E1"/>
    <w:rsid w:val="615822A7"/>
    <w:rsid w:val="61A86601"/>
    <w:rsid w:val="61AB7E9F"/>
    <w:rsid w:val="61C34085"/>
    <w:rsid w:val="61F01D56"/>
    <w:rsid w:val="61FA3F5F"/>
    <w:rsid w:val="61FE3813"/>
    <w:rsid w:val="62137FF3"/>
    <w:rsid w:val="62284489"/>
    <w:rsid w:val="62315960"/>
    <w:rsid w:val="625C09C3"/>
    <w:rsid w:val="62704140"/>
    <w:rsid w:val="6280757E"/>
    <w:rsid w:val="629B6ADB"/>
    <w:rsid w:val="62A414BE"/>
    <w:rsid w:val="62B114E5"/>
    <w:rsid w:val="62E80C7F"/>
    <w:rsid w:val="62F75537"/>
    <w:rsid w:val="62FF4946"/>
    <w:rsid w:val="6318012F"/>
    <w:rsid w:val="635E6171"/>
    <w:rsid w:val="63643AEF"/>
    <w:rsid w:val="63866677"/>
    <w:rsid w:val="639C03E7"/>
    <w:rsid w:val="64041AE8"/>
    <w:rsid w:val="64205D2C"/>
    <w:rsid w:val="64306D81"/>
    <w:rsid w:val="64326656"/>
    <w:rsid w:val="6488096B"/>
    <w:rsid w:val="648F0C67"/>
    <w:rsid w:val="649E1F3D"/>
    <w:rsid w:val="64BE613B"/>
    <w:rsid w:val="64ED2418"/>
    <w:rsid w:val="65006754"/>
    <w:rsid w:val="650F1C13"/>
    <w:rsid w:val="652A38BA"/>
    <w:rsid w:val="652C28D7"/>
    <w:rsid w:val="6535658E"/>
    <w:rsid w:val="653B151D"/>
    <w:rsid w:val="65491EA9"/>
    <w:rsid w:val="654C1999"/>
    <w:rsid w:val="654E019A"/>
    <w:rsid w:val="654F3237"/>
    <w:rsid w:val="65B56967"/>
    <w:rsid w:val="65BA6C64"/>
    <w:rsid w:val="65CB5EC9"/>
    <w:rsid w:val="65D35C16"/>
    <w:rsid w:val="65EE0CA2"/>
    <w:rsid w:val="660839C4"/>
    <w:rsid w:val="662355DD"/>
    <w:rsid w:val="66344907"/>
    <w:rsid w:val="664A412A"/>
    <w:rsid w:val="665E1984"/>
    <w:rsid w:val="66632270"/>
    <w:rsid w:val="666B5E4F"/>
    <w:rsid w:val="668A39A7"/>
    <w:rsid w:val="669D0655"/>
    <w:rsid w:val="66A80E51"/>
    <w:rsid w:val="66AA2E1B"/>
    <w:rsid w:val="66C57C55"/>
    <w:rsid w:val="66DD7610"/>
    <w:rsid w:val="6703077D"/>
    <w:rsid w:val="670E33AA"/>
    <w:rsid w:val="671875D8"/>
    <w:rsid w:val="672A6F03"/>
    <w:rsid w:val="673E5311"/>
    <w:rsid w:val="67544B35"/>
    <w:rsid w:val="6759214B"/>
    <w:rsid w:val="6760172C"/>
    <w:rsid w:val="67687304"/>
    <w:rsid w:val="67874F0A"/>
    <w:rsid w:val="679B09B6"/>
    <w:rsid w:val="67AE06E9"/>
    <w:rsid w:val="67B0620F"/>
    <w:rsid w:val="67ED7C6F"/>
    <w:rsid w:val="67F3434E"/>
    <w:rsid w:val="680447AD"/>
    <w:rsid w:val="6839737D"/>
    <w:rsid w:val="688A2F04"/>
    <w:rsid w:val="68951ACA"/>
    <w:rsid w:val="68AE33AF"/>
    <w:rsid w:val="68B40662"/>
    <w:rsid w:val="68C06926"/>
    <w:rsid w:val="68D0468F"/>
    <w:rsid w:val="68F55EA4"/>
    <w:rsid w:val="68F844E0"/>
    <w:rsid w:val="690F51B7"/>
    <w:rsid w:val="69125893"/>
    <w:rsid w:val="69256789"/>
    <w:rsid w:val="6927426E"/>
    <w:rsid w:val="692964F8"/>
    <w:rsid w:val="694C640B"/>
    <w:rsid w:val="6980208B"/>
    <w:rsid w:val="6982249A"/>
    <w:rsid w:val="69A6572D"/>
    <w:rsid w:val="69B53FB1"/>
    <w:rsid w:val="69D82D79"/>
    <w:rsid w:val="69EC54F9"/>
    <w:rsid w:val="6A167C07"/>
    <w:rsid w:val="6A415C83"/>
    <w:rsid w:val="6A4E3C1D"/>
    <w:rsid w:val="6A6B28C1"/>
    <w:rsid w:val="6A773014"/>
    <w:rsid w:val="6AD9782B"/>
    <w:rsid w:val="6AE17228"/>
    <w:rsid w:val="6AE6019A"/>
    <w:rsid w:val="6AF65FE4"/>
    <w:rsid w:val="6AF77B5D"/>
    <w:rsid w:val="6AFF300A"/>
    <w:rsid w:val="6B17268F"/>
    <w:rsid w:val="6B1E5B86"/>
    <w:rsid w:val="6B256F14"/>
    <w:rsid w:val="6B427AC6"/>
    <w:rsid w:val="6B496511"/>
    <w:rsid w:val="6B5275DD"/>
    <w:rsid w:val="6B5477F9"/>
    <w:rsid w:val="6B7518D3"/>
    <w:rsid w:val="6B78643D"/>
    <w:rsid w:val="6BA442DD"/>
    <w:rsid w:val="6BE7241B"/>
    <w:rsid w:val="6BE8516B"/>
    <w:rsid w:val="6BECC431"/>
    <w:rsid w:val="6BFF00FB"/>
    <w:rsid w:val="6C171F0E"/>
    <w:rsid w:val="6C215EC8"/>
    <w:rsid w:val="6C343055"/>
    <w:rsid w:val="6C502F05"/>
    <w:rsid w:val="6C53185F"/>
    <w:rsid w:val="6C621AA2"/>
    <w:rsid w:val="6C710D22"/>
    <w:rsid w:val="6C7836BB"/>
    <w:rsid w:val="6C7C2B64"/>
    <w:rsid w:val="6C963766"/>
    <w:rsid w:val="6CA3057C"/>
    <w:rsid w:val="6CB67A8F"/>
    <w:rsid w:val="6CCF2FDD"/>
    <w:rsid w:val="6CD26C28"/>
    <w:rsid w:val="6CEF1588"/>
    <w:rsid w:val="6D453443"/>
    <w:rsid w:val="6D486EEA"/>
    <w:rsid w:val="6D521372"/>
    <w:rsid w:val="6D77157D"/>
    <w:rsid w:val="6D8B6DD7"/>
    <w:rsid w:val="6D8E3B6E"/>
    <w:rsid w:val="6DA12AB5"/>
    <w:rsid w:val="6DD644F6"/>
    <w:rsid w:val="6DEA7FA1"/>
    <w:rsid w:val="6DF716C2"/>
    <w:rsid w:val="6E1374F8"/>
    <w:rsid w:val="6E1D3ED3"/>
    <w:rsid w:val="6E2A4841"/>
    <w:rsid w:val="6E421B8B"/>
    <w:rsid w:val="6E762E11"/>
    <w:rsid w:val="6E8B4F0E"/>
    <w:rsid w:val="6EB8009F"/>
    <w:rsid w:val="6EBD7464"/>
    <w:rsid w:val="6EF415C9"/>
    <w:rsid w:val="6F125A01"/>
    <w:rsid w:val="6F2E0A3D"/>
    <w:rsid w:val="6F3239AE"/>
    <w:rsid w:val="6F505649"/>
    <w:rsid w:val="6F651FD5"/>
    <w:rsid w:val="6F7C2E7B"/>
    <w:rsid w:val="6F904A19"/>
    <w:rsid w:val="6F933F14"/>
    <w:rsid w:val="6F997ED1"/>
    <w:rsid w:val="6FA36659"/>
    <w:rsid w:val="6FA9006B"/>
    <w:rsid w:val="6FAF14A2"/>
    <w:rsid w:val="6FB72105"/>
    <w:rsid w:val="6FDE48DA"/>
    <w:rsid w:val="6FFF2C85"/>
    <w:rsid w:val="70344B19"/>
    <w:rsid w:val="70614985"/>
    <w:rsid w:val="70626515"/>
    <w:rsid w:val="70682C9E"/>
    <w:rsid w:val="707D50FC"/>
    <w:rsid w:val="708B1E6D"/>
    <w:rsid w:val="70CC2F56"/>
    <w:rsid w:val="70F84783"/>
    <w:rsid w:val="70FE623D"/>
    <w:rsid w:val="71033614"/>
    <w:rsid w:val="7130352B"/>
    <w:rsid w:val="713F1162"/>
    <w:rsid w:val="717C3606"/>
    <w:rsid w:val="71924BD7"/>
    <w:rsid w:val="71B903B6"/>
    <w:rsid w:val="71CE229B"/>
    <w:rsid w:val="71F86D8D"/>
    <w:rsid w:val="72005FE5"/>
    <w:rsid w:val="72037CF3"/>
    <w:rsid w:val="72084E9A"/>
    <w:rsid w:val="724E5D98"/>
    <w:rsid w:val="7253565E"/>
    <w:rsid w:val="72765C8F"/>
    <w:rsid w:val="72934C22"/>
    <w:rsid w:val="7294672D"/>
    <w:rsid w:val="729A1F96"/>
    <w:rsid w:val="729B0618"/>
    <w:rsid w:val="72B8066E"/>
    <w:rsid w:val="72C96655"/>
    <w:rsid w:val="72E01238"/>
    <w:rsid w:val="73100BFB"/>
    <w:rsid w:val="73202185"/>
    <w:rsid w:val="732C2B75"/>
    <w:rsid w:val="73532145"/>
    <w:rsid w:val="73593BFF"/>
    <w:rsid w:val="735E299E"/>
    <w:rsid w:val="736761DE"/>
    <w:rsid w:val="73765B39"/>
    <w:rsid w:val="73797DFD"/>
    <w:rsid w:val="738358F8"/>
    <w:rsid w:val="73B76B77"/>
    <w:rsid w:val="73BC4111"/>
    <w:rsid w:val="73C179F6"/>
    <w:rsid w:val="73CE3A9A"/>
    <w:rsid w:val="740D126C"/>
    <w:rsid w:val="74116287"/>
    <w:rsid w:val="7428537F"/>
    <w:rsid w:val="74324450"/>
    <w:rsid w:val="749B7C89"/>
    <w:rsid w:val="74B66869"/>
    <w:rsid w:val="74B86053"/>
    <w:rsid w:val="74C01A5C"/>
    <w:rsid w:val="74EA0887"/>
    <w:rsid w:val="74F918E2"/>
    <w:rsid w:val="751A7B77"/>
    <w:rsid w:val="751B7B5A"/>
    <w:rsid w:val="751D342D"/>
    <w:rsid w:val="7532397A"/>
    <w:rsid w:val="75377F70"/>
    <w:rsid w:val="75731C89"/>
    <w:rsid w:val="75751C4B"/>
    <w:rsid w:val="7588314B"/>
    <w:rsid w:val="759727BC"/>
    <w:rsid w:val="75A20899"/>
    <w:rsid w:val="75BF7F65"/>
    <w:rsid w:val="75C94C87"/>
    <w:rsid w:val="7621538C"/>
    <w:rsid w:val="76361FD5"/>
    <w:rsid w:val="76407FA9"/>
    <w:rsid w:val="765661D4"/>
    <w:rsid w:val="765C39D6"/>
    <w:rsid w:val="766F04AB"/>
    <w:rsid w:val="76816FC9"/>
    <w:rsid w:val="768A0573"/>
    <w:rsid w:val="76946CFC"/>
    <w:rsid w:val="76AA29C3"/>
    <w:rsid w:val="76C41E3C"/>
    <w:rsid w:val="76D060CA"/>
    <w:rsid w:val="76E82107"/>
    <w:rsid w:val="76F46195"/>
    <w:rsid w:val="770A22D8"/>
    <w:rsid w:val="770F478C"/>
    <w:rsid w:val="77274014"/>
    <w:rsid w:val="77356731"/>
    <w:rsid w:val="77444BC6"/>
    <w:rsid w:val="77546437"/>
    <w:rsid w:val="7769462C"/>
    <w:rsid w:val="77CD0717"/>
    <w:rsid w:val="77DA0F31"/>
    <w:rsid w:val="77E872FF"/>
    <w:rsid w:val="7806466D"/>
    <w:rsid w:val="788C0993"/>
    <w:rsid w:val="78AC1F6C"/>
    <w:rsid w:val="78B93D5D"/>
    <w:rsid w:val="78DB31D9"/>
    <w:rsid w:val="790074D7"/>
    <w:rsid w:val="7912549F"/>
    <w:rsid w:val="792C3B64"/>
    <w:rsid w:val="793B6106"/>
    <w:rsid w:val="794013BD"/>
    <w:rsid w:val="79424A4D"/>
    <w:rsid w:val="7947274B"/>
    <w:rsid w:val="794B1AC6"/>
    <w:rsid w:val="79AB2CDA"/>
    <w:rsid w:val="79B576B5"/>
    <w:rsid w:val="79DB78EF"/>
    <w:rsid w:val="7A117E54"/>
    <w:rsid w:val="7A146AD1"/>
    <w:rsid w:val="7A2F7467"/>
    <w:rsid w:val="7A3B7202"/>
    <w:rsid w:val="7A70485F"/>
    <w:rsid w:val="7A884DCA"/>
    <w:rsid w:val="7A9C0875"/>
    <w:rsid w:val="7AAF67FA"/>
    <w:rsid w:val="7ACA3498"/>
    <w:rsid w:val="7AD87333"/>
    <w:rsid w:val="7AF87532"/>
    <w:rsid w:val="7B0A4CBC"/>
    <w:rsid w:val="7B0F10EF"/>
    <w:rsid w:val="7B1E74DC"/>
    <w:rsid w:val="7B292109"/>
    <w:rsid w:val="7B4C5DF7"/>
    <w:rsid w:val="7B8E32BD"/>
    <w:rsid w:val="7B9A6B62"/>
    <w:rsid w:val="7BC02341"/>
    <w:rsid w:val="7BD40160"/>
    <w:rsid w:val="7BD56E4C"/>
    <w:rsid w:val="7BD82458"/>
    <w:rsid w:val="7BDC0E9F"/>
    <w:rsid w:val="7BEE3352"/>
    <w:rsid w:val="7BF10774"/>
    <w:rsid w:val="7BF70459"/>
    <w:rsid w:val="7C013085"/>
    <w:rsid w:val="7C1F52BA"/>
    <w:rsid w:val="7C574A54"/>
    <w:rsid w:val="7C592978"/>
    <w:rsid w:val="7CA35EEB"/>
    <w:rsid w:val="7CA51C63"/>
    <w:rsid w:val="7CB65952"/>
    <w:rsid w:val="7CCF4F32"/>
    <w:rsid w:val="7CDB5685"/>
    <w:rsid w:val="7CE16A13"/>
    <w:rsid w:val="7CE456D0"/>
    <w:rsid w:val="7CEF4968"/>
    <w:rsid w:val="7D0A5F6A"/>
    <w:rsid w:val="7D1961AD"/>
    <w:rsid w:val="7D257A97"/>
    <w:rsid w:val="7D5471E5"/>
    <w:rsid w:val="7D567401"/>
    <w:rsid w:val="7D584F27"/>
    <w:rsid w:val="7D6F583E"/>
    <w:rsid w:val="7D7B29C4"/>
    <w:rsid w:val="7D7F4A60"/>
    <w:rsid w:val="7D8A3D8D"/>
    <w:rsid w:val="7D941903"/>
    <w:rsid w:val="7D9817C8"/>
    <w:rsid w:val="7DAC7021"/>
    <w:rsid w:val="7DBF2F29"/>
    <w:rsid w:val="7DC12ACC"/>
    <w:rsid w:val="7DCA721C"/>
    <w:rsid w:val="7E01111B"/>
    <w:rsid w:val="7E1B5701"/>
    <w:rsid w:val="7E365FEB"/>
    <w:rsid w:val="7E3E6C1B"/>
    <w:rsid w:val="7E5C1099"/>
    <w:rsid w:val="7E6072DD"/>
    <w:rsid w:val="7E725E7E"/>
    <w:rsid w:val="7E8A55B4"/>
    <w:rsid w:val="7E9F3600"/>
    <w:rsid w:val="7EC14D4E"/>
    <w:rsid w:val="7ED24865"/>
    <w:rsid w:val="7F1247D3"/>
    <w:rsid w:val="7F266008"/>
    <w:rsid w:val="7F5558A3"/>
    <w:rsid w:val="7F954211"/>
    <w:rsid w:val="7FA70F17"/>
    <w:rsid w:val="7FAC3308"/>
    <w:rsid w:val="7FCD5292"/>
    <w:rsid w:val="7FE97D20"/>
    <w:rsid w:val="7FF52F01"/>
    <w:rsid w:val="7FFB603E"/>
    <w:rsid w:val="BDDF64D3"/>
    <w:rsid w:val="F9FE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line="360" w:lineRule="auto"/>
      <w:outlineLvl w:val="0"/>
    </w:pPr>
    <w:rPr>
      <w:rFonts w:ascii="仿宋_GB2312" w:eastAsia="仿宋_GB2312"/>
      <w:bCs/>
      <w:snapToGrid w:val="0"/>
      <w:kern w:val="0"/>
      <w:szCs w:val="21"/>
    </w:rPr>
  </w:style>
  <w:style w:type="paragraph" w:styleId="4">
    <w:name w:val="heading 2"/>
    <w:basedOn w:val="1"/>
    <w:next w:val="1"/>
    <w:link w:val="22"/>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Document Map"/>
    <w:basedOn w:val="1"/>
    <w:next w:val="1"/>
    <w:unhideWhenUsed/>
    <w:qFormat/>
    <w:uiPriority w:val="99"/>
    <w:rPr>
      <w:rFonts w:ascii="宋体"/>
      <w:sz w:val="18"/>
      <w:szCs w:val="18"/>
    </w:rPr>
  </w:style>
  <w:style w:type="paragraph" w:styleId="6">
    <w:name w:val="Normal Indent"/>
    <w:basedOn w:val="1"/>
    <w:qFormat/>
    <w:uiPriority w:val="0"/>
    <w:pPr>
      <w:ind w:firstLine="420" w:firstLineChars="200"/>
    </w:pPr>
    <w:rPr>
      <w:rFonts w:eastAsia="仿宋"/>
      <w:sz w:val="32"/>
    </w:rPr>
  </w:style>
  <w:style w:type="paragraph" w:styleId="7">
    <w:name w:val="Body Text Indent"/>
    <w:basedOn w:val="1"/>
    <w:next w:val="6"/>
    <w:link w:val="32"/>
    <w:semiHidden/>
    <w:unhideWhenUsed/>
    <w:qFormat/>
    <w:uiPriority w:val="99"/>
    <w:pPr>
      <w:spacing w:after="120"/>
      <w:ind w:left="420" w:leftChars="200"/>
    </w:pPr>
  </w:style>
  <w:style w:type="paragraph" w:styleId="8">
    <w:name w:val="Balloon Text"/>
    <w:basedOn w:val="1"/>
    <w:link w:val="24"/>
    <w:semiHidden/>
    <w:unhideWhenUsed/>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7"/>
    <w:qFormat/>
    <w:uiPriority w:val="0"/>
    <w:pPr>
      <w:ind w:firstLine="200" w:firstLineChars="200"/>
      <w:jc w:val="left"/>
      <w:outlineLvl w:val="2"/>
    </w:pPr>
    <w:rPr>
      <w:rFonts w:ascii="Cambria" w:hAnsi="Cambria" w:eastAsia="黑体"/>
      <w:bCs/>
      <w:kern w:val="28"/>
      <w:sz w:val="28"/>
      <w:szCs w:val="32"/>
    </w:rPr>
  </w:style>
  <w:style w:type="paragraph" w:styleId="12">
    <w:name w:val="footnote text"/>
    <w:basedOn w:val="1"/>
    <w:semiHidden/>
    <w:unhideWhenUsed/>
    <w:qFormat/>
    <w:uiPriority w:val="99"/>
    <w:pPr>
      <w:snapToGrid w:val="0"/>
      <w:jc w:val="left"/>
    </w:pPr>
    <w:rPr>
      <w:sz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7"/>
    <w:link w:val="33"/>
    <w:qFormat/>
    <w:uiPriority w:val="0"/>
    <w:pPr>
      <w:spacing w:after="0"/>
      <w:ind w:firstLine="420" w:firstLineChars="200"/>
    </w:pPr>
    <w:rPr>
      <w:sz w:val="32"/>
      <w:szCs w:val="3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uiPriority w:val="22"/>
    <w:rPr>
      <w:b/>
    </w:rPr>
  </w:style>
  <w:style w:type="character" w:styleId="19">
    <w:name w:val="page number"/>
    <w:basedOn w:val="17"/>
    <w:qFormat/>
    <w:uiPriority w:val="0"/>
  </w:style>
  <w:style w:type="character" w:styleId="20">
    <w:name w:val="footnote reference"/>
    <w:basedOn w:val="17"/>
    <w:semiHidden/>
    <w:unhideWhenUsed/>
    <w:qFormat/>
    <w:uiPriority w:val="99"/>
    <w:rPr>
      <w:vertAlign w:val="superscript"/>
    </w:rPr>
  </w:style>
  <w:style w:type="character" w:customStyle="1" w:styleId="21">
    <w:name w:val="标题 1 Char"/>
    <w:basedOn w:val="17"/>
    <w:link w:val="3"/>
    <w:qFormat/>
    <w:uiPriority w:val="0"/>
    <w:rPr>
      <w:rFonts w:ascii="仿宋_GB2312" w:hAnsi="Times New Roman" w:eastAsia="仿宋_GB2312" w:cs="Times New Roman"/>
      <w:bCs/>
      <w:snapToGrid w:val="0"/>
      <w:kern w:val="0"/>
      <w:szCs w:val="21"/>
    </w:rPr>
  </w:style>
  <w:style w:type="character" w:customStyle="1" w:styleId="22">
    <w:name w:val="标题 2 Char"/>
    <w:basedOn w:val="17"/>
    <w:link w:val="4"/>
    <w:qFormat/>
    <w:uiPriority w:val="9"/>
    <w:rPr>
      <w:rFonts w:ascii="Cambria" w:hAnsi="Cambria" w:eastAsia="宋体" w:cs="Times New Roman"/>
      <w:b/>
      <w:bCs/>
      <w:kern w:val="2"/>
      <w:sz w:val="32"/>
      <w:szCs w:val="32"/>
    </w:rPr>
  </w:style>
  <w:style w:type="character" w:customStyle="1" w:styleId="23">
    <w:name w:val="标题 3 Char"/>
    <w:basedOn w:val="17"/>
    <w:link w:val="5"/>
    <w:qFormat/>
    <w:uiPriority w:val="0"/>
    <w:rPr>
      <w:rFonts w:ascii="Times New Roman" w:hAnsi="Times New Roman" w:eastAsia="宋体" w:cs="Times New Roman"/>
      <w:b/>
      <w:bCs/>
      <w:sz w:val="32"/>
      <w:szCs w:val="32"/>
    </w:rPr>
  </w:style>
  <w:style w:type="character" w:customStyle="1" w:styleId="24">
    <w:name w:val="批注框文本 Char"/>
    <w:basedOn w:val="17"/>
    <w:link w:val="8"/>
    <w:semiHidden/>
    <w:qFormat/>
    <w:uiPriority w:val="99"/>
    <w:rPr>
      <w:rFonts w:ascii="Times New Roman" w:hAnsi="Times New Roman" w:eastAsia="宋体" w:cs="Times New Roman"/>
      <w:sz w:val="18"/>
      <w:szCs w:val="18"/>
    </w:rPr>
  </w:style>
  <w:style w:type="character" w:customStyle="1" w:styleId="25">
    <w:name w:val="页脚 Char"/>
    <w:basedOn w:val="17"/>
    <w:link w:val="9"/>
    <w:qFormat/>
    <w:uiPriority w:val="99"/>
    <w:rPr>
      <w:rFonts w:ascii="Times New Roman" w:hAnsi="Times New Roman" w:eastAsia="宋体" w:cs="Times New Roman"/>
      <w:sz w:val="18"/>
      <w:szCs w:val="18"/>
    </w:rPr>
  </w:style>
  <w:style w:type="character" w:customStyle="1" w:styleId="26">
    <w:name w:val="页眉 Char"/>
    <w:basedOn w:val="17"/>
    <w:link w:val="10"/>
    <w:qFormat/>
    <w:uiPriority w:val="99"/>
    <w:rPr>
      <w:rFonts w:ascii="Times New Roman" w:hAnsi="Times New Roman" w:eastAsia="宋体" w:cs="Times New Roman"/>
      <w:sz w:val="18"/>
      <w:szCs w:val="18"/>
    </w:rPr>
  </w:style>
  <w:style w:type="character" w:customStyle="1" w:styleId="27">
    <w:name w:val="副标题 Char"/>
    <w:basedOn w:val="17"/>
    <w:link w:val="11"/>
    <w:qFormat/>
    <w:uiPriority w:val="0"/>
    <w:rPr>
      <w:rFonts w:ascii="Cambria" w:hAnsi="Cambria" w:eastAsia="黑体" w:cs="Times New Roman"/>
      <w:bCs/>
      <w:kern w:val="28"/>
      <w:sz w:val="28"/>
      <w:szCs w:val="32"/>
    </w:rPr>
  </w:style>
  <w:style w:type="paragraph" w:styleId="2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styleId="29">
    <w:name w:val="Placeholder Text"/>
    <w:basedOn w:val="17"/>
    <w:semiHidden/>
    <w:qFormat/>
    <w:uiPriority w:val="99"/>
    <w:rPr>
      <w:color w:val="808080"/>
    </w:rPr>
  </w:style>
  <w:style w:type="character" w:customStyle="1" w:styleId="30">
    <w:name w:val="NormalCharacter"/>
    <w:link w:val="31"/>
    <w:qFormat/>
    <w:uiPriority w:val="0"/>
    <w:rPr>
      <w:rFonts w:ascii="宋体"/>
      <w:sz w:val="24"/>
    </w:rPr>
  </w:style>
  <w:style w:type="paragraph" w:customStyle="1" w:styleId="31">
    <w:name w:val="UserStyle_1"/>
    <w:basedOn w:val="1"/>
    <w:link w:val="30"/>
    <w:qFormat/>
    <w:uiPriority w:val="0"/>
    <w:pPr>
      <w:widowControl/>
      <w:spacing w:line="360" w:lineRule="auto"/>
      <w:ind w:firstLine="200" w:firstLineChars="200"/>
    </w:pPr>
    <w:rPr>
      <w:rFonts w:ascii="宋体" w:hAnsiTheme="minorHAnsi" w:eastAsiaTheme="minorEastAsia" w:cstheme="minorBidi"/>
      <w:kern w:val="0"/>
      <w:sz w:val="24"/>
      <w:szCs w:val="20"/>
    </w:rPr>
  </w:style>
  <w:style w:type="character" w:customStyle="1" w:styleId="32">
    <w:name w:val="正文文本缩进 Char"/>
    <w:basedOn w:val="17"/>
    <w:link w:val="7"/>
    <w:semiHidden/>
    <w:qFormat/>
    <w:uiPriority w:val="99"/>
    <w:rPr>
      <w:rFonts w:ascii="Times New Roman" w:hAnsi="Times New Roman" w:eastAsia="宋体" w:cs="Times New Roman"/>
      <w:kern w:val="2"/>
      <w:sz w:val="21"/>
      <w:szCs w:val="24"/>
    </w:rPr>
  </w:style>
  <w:style w:type="character" w:customStyle="1" w:styleId="33">
    <w:name w:val="正文首行缩进 2 Char"/>
    <w:basedOn w:val="32"/>
    <w:link w:val="14"/>
    <w:qFormat/>
    <w:uiPriority w:val="0"/>
    <w:rPr>
      <w:rFonts w:ascii="Times New Roman" w:hAnsi="Times New Roman" w:eastAsia="宋体" w:cs="Times New Roman"/>
      <w:kern w:val="2"/>
      <w:sz w:val="32"/>
      <w:szCs w:val="32"/>
    </w:rPr>
  </w:style>
  <w:style w:type="paragraph" w:styleId="34">
    <w:name w:val="List Paragraph"/>
    <w:basedOn w:val="1"/>
    <w:qFormat/>
    <w:uiPriority w:val="99"/>
    <w:pPr>
      <w:ind w:firstLine="420" w:firstLineChars="200"/>
    </w:pPr>
  </w:style>
  <w:style w:type="character" w:customStyle="1" w:styleId="35">
    <w:name w:val="font41"/>
    <w:basedOn w:val="17"/>
    <w:qFormat/>
    <w:uiPriority w:val="0"/>
    <w:rPr>
      <w:rFonts w:ascii="汉仪细圆B5" w:hAnsi="汉仪细圆B5" w:eastAsia="汉仪细圆B5" w:cs="汉仪细圆B5"/>
      <w:color w:val="000000"/>
      <w:sz w:val="22"/>
      <w:szCs w:val="22"/>
      <w:u w:val="none"/>
    </w:rPr>
  </w:style>
  <w:style w:type="character" w:customStyle="1" w:styleId="36">
    <w:name w:val="font01"/>
    <w:basedOn w:val="17"/>
    <w:qFormat/>
    <w:uiPriority w:val="0"/>
    <w:rPr>
      <w:rFonts w:hint="eastAsia" w:ascii="宋体" w:hAnsi="宋体" w:eastAsia="宋体" w:cs="宋体"/>
      <w:color w:val="000000"/>
      <w:sz w:val="22"/>
      <w:szCs w:val="22"/>
      <w:u w:val="none"/>
    </w:rPr>
  </w:style>
  <w:style w:type="character" w:customStyle="1" w:styleId="37">
    <w:name w:val="font81"/>
    <w:basedOn w:val="17"/>
    <w:qFormat/>
    <w:uiPriority w:val="0"/>
    <w:rPr>
      <w:rFonts w:ascii="汉仪细圆B5" w:hAnsi="汉仪细圆B5" w:eastAsia="汉仪细圆B5" w:cs="汉仪细圆B5"/>
      <w:color w:val="000000"/>
      <w:sz w:val="20"/>
      <w:szCs w:val="20"/>
      <w:u w:val="none"/>
    </w:rPr>
  </w:style>
  <w:style w:type="character" w:customStyle="1" w:styleId="38">
    <w:name w:val="font21"/>
    <w:basedOn w:val="17"/>
    <w:qFormat/>
    <w:uiPriority w:val="0"/>
    <w:rPr>
      <w:rFonts w:hint="eastAsia" w:ascii="宋体" w:hAnsi="宋体" w:eastAsia="宋体" w:cs="宋体"/>
      <w:color w:val="000000"/>
      <w:sz w:val="20"/>
      <w:szCs w:val="20"/>
      <w:u w:val="none"/>
    </w:rPr>
  </w:style>
  <w:style w:type="character" w:customStyle="1" w:styleId="39">
    <w:name w:val="font61"/>
    <w:basedOn w:val="17"/>
    <w:qFormat/>
    <w:uiPriority w:val="0"/>
    <w:rPr>
      <w:rFonts w:ascii="汉仪细圆B5" w:hAnsi="汉仪细圆B5" w:eastAsia="汉仪细圆B5" w:cs="汉仪细圆B5"/>
      <w:color w:val="000000"/>
      <w:sz w:val="21"/>
      <w:szCs w:val="21"/>
      <w:u w:val="none"/>
    </w:rPr>
  </w:style>
  <w:style w:type="character" w:customStyle="1" w:styleId="40">
    <w:name w:val="font11"/>
    <w:basedOn w:val="17"/>
    <w:qFormat/>
    <w:uiPriority w:val="0"/>
    <w:rPr>
      <w:rFonts w:hint="eastAsia" w:ascii="宋体" w:hAnsi="宋体" w:eastAsia="宋体" w:cs="宋体"/>
      <w:color w:val="000000"/>
      <w:sz w:val="21"/>
      <w:szCs w:val="21"/>
      <w:u w:val="none"/>
    </w:rPr>
  </w:style>
  <w:style w:type="paragraph" w:customStyle="1" w:styleId="41">
    <w:name w:val="首行缩进"/>
    <w:basedOn w:val="1"/>
    <w:autoRedefine/>
    <w:qFormat/>
    <w:uiPriority w:val="0"/>
    <w:pPr>
      <w:ind w:firstLine="480"/>
    </w:pPr>
    <w:rPr>
      <w:rFonts w:ascii="Calibri" w:hAnsi="Calibri" w:eastAsia="仿宋" w:cs="Times New Roman"/>
      <w:szCs w:val="24"/>
      <w:lang w:val="zh-CN"/>
    </w:rPr>
  </w:style>
  <w:style w:type="character" w:customStyle="1" w:styleId="42">
    <w:name w:val="font51"/>
    <w:basedOn w:val="17"/>
    <w:qFormat/>
    <w:uiPriority w:val="0"/>
    <w:rPr>
      <w:rFonts w:ascii="汉仪细圆B5" w:hAnsi="汉仪细圆B5" w:eastAsia="汉仪细圆B5" w:cs="汉仪细圆B5"/>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联想中国</Company>
  <Pages>42</Pages>
  <Words>8905</Words>
  <Characters>9784</Characters>
  <Lines>112</Lines>
  <Paragraphs>31</Paragraphs>
  <TotalTime>1</TotalTime>
  <ScaleCrop>false</ScaleCrop>
  <LinksUpToDate>false</LinksUpToDate>
  <CharactersWithSpaces>9820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2022-03-08T08:12:00Z</dcterms:created>
  <dc:creator>许俊1493686164405</dc:creator>
  <cp:lastModifiedBy>chen.cg</cp:lastModifiedBy>
  <cp:lastPrinted>2024-06-21T04:46:00Z</cp:lastPrinted>
  <dcterms:modified xsi:type="dcterms:W3CDTF">2025-05-26T04:59:28Z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71F3F994DFAE4699A927EAED8CF04392</vt:lpwstr>
  </property>
  <property fmtid="{D5CDD505-2E9C-101B-9397-08002B2CF9AE}" pid="4" name="KSOTemplateDocerSaveRecord">
    <vt:lpwstr>eyJoZGlkIjoiYWFiZWQyMDRkMWIzMTIxZDBhODQ2YzA0NTYxYjk2YWEiLCJ1c2VySWQiOiI3NjM4NTMwNTgifQ==</vt:lpwstr>
  </property>
</Properties>
</file>