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67" w:rsidRDefault="00F52267" w:rsidP="009A3EF1">
      <w:pPr>
        <w:jc w:val="center"/>
        <w:rPr>
          <w:rFonts w:ascii="方正小标宋简体" w:eastAsia="方正小标宋简体" w:hAnsi="宋体" w:cs="宋体" w:hint="eastAsia"/>
          <w:kern w:val="0"/>
          <w:sz w:val="36"/>
          <w:szCs w:val="36"/>
        </w:rPr>
      </w:pPr>
      <w:r w:rsidRPr="00F52267">
        <w:rPr>
          <w:rFonts w:ascii="方正小标宋简体" w:eastAsia="方正小标宋简体" w:hAnsi="宋体" w:cs="宋体" w:hint="eastAsia"/>
          <w:kern w:val="0"/>
          <w:sz w:val="36"/>
          <w:szCs w:val="36"/>
        </w:rPr>
        <w:t>福建省应急</w:t>
      </w:r>
      <w:r w:rsidRPr="00F52267">
        <w:rPr>
          <w:rFonts w:ascii="方正小标宋简体" w:eastAsia="方正小标宋简体" w:hAnsi="宋体" w:cs="宋体"/>
          <w:kern w:val="0"/>
          <w:sz w:val="36"/>
          <w:szCs w:val="36"/>
        </w:rPr>
        <w:t>管理</w:t>
      </w:r>
      <w:r w:rsidR="009A3EF1" w:rsidRPr="00F52267">
        <w:rPr>
          <w:rFonts w:ascii="方正小标宋简体" w:eastAsia="方正小标宋简体" w:hAnsi="宋体" w:cs="宋体" w:hint="eastAsia"/>
          <w:kern w:val="0"/>
          <w:sz w:val="36"/>
          <w:szCs w:val="36"/>
        </w:rPr>
        <w:t>厅一体化协同办公平台</w:t>
      </w:r>
    </w:p>
    <w:p w:rsidR="00AD51CA" w:rsidRPr="00F52267" w:rsidRDefault="009A3EF1" w:rsidP="009A3EF1">
      <w:pPr>
        <w:jc w:val="center"/>
        <w:rPr>
          <w:rFonts w:ascii="方正小标宋简体" w:eastAsia="方正小标宋简体" w:hint="eastAsia"/>
          <w:sz w:val="36"/>
          <w:szCs w:val="36"/>
        </w:rPr>
      </w:pPr>
      <w:r w:rsidRPr="00F52267">
        <w:rPr>
          <w:rFonts w:ascii="方正小标宋简体" w:eastAsia="方正小标宋简体" w:hAnsi="宋体" w:cs="宋体" w:hint="eastAsia"/>
          <w:kern w:val="0"/>
          <w:sz w:val="36"/>
          <w:szCs w:val="36"/>
        </w:rPr>
        <w:t>功能开发及运维服务项目</w:t>
      </w:r>
      <w:r w:rsidR="00B2040E" w:rsidRPr="00F52267">
        <w:rPr>
          <w:rFonts w:ascii="方正小标宋简体" w:eastAsia="方正小标宋简体" w:hAnsi="宋体" w:cs="宋体" w:hint="eastAsia"/>
          <w:kern w:val="0"/>
          <w:sz w:val="36"/>
          <w:szCs w:val="36"/>
        </w:rPr>
        <w:t>询</w:t>
      </w:r>
      <w:r w:rsidRPr="00F52267">
        <w:rPr>
          <w:rFonts w:ascii="方正小标宋简体" w:eastAsia="方正小标宋简体" w:hAnsi="宋体" w:cs="宋体" w:hint="eastAsia"/>
          <w:kern w:val="0"/>
          <w:sz w:val="36"/>
          <w:szCs w:val="36"/>
        </w:rPr>
        <w:t>价表</w:t>
      </w:r>
    </w:p>
    <w:p w:rsidR="00F52267" w:rsidRDefault="00F52267" w:rsidP="00F52267">
      <w:pPr>
        <w:ind w:firstLineChars="200" w:firstLine="480"/>
        <w:rPr>
          <w:rFonts w:hint="eastAsia"/>
          <w:sz w:val="24"/>
          <w:szCs w:val="24"/>
        </w:rPr>
      </w:pPr>
    </w:p>
    <w:p w:rsidR="00194123" w:rsidRPr="00F52267" w:rsidRDefault="00F52267" w:rsidP="00F52267">
      <w:pPr>
        <w:ind w:firstLineChars="200" w:firstLine="480"/>
        <w:rPr>
          <w:rFonts w:hint="eastAsia"/>
          <w:sz w:val="24"/>
          <w:szCs w:val="24"/>
        </w:rPr>
      </w:pPr>
      <w:r w:rsidRPr="00F52267">
        <w:rPr>
          <w:rFonts w:hint="eastAsia"/>
          <w:sz w:val="24"/>
          <w:szCs w:val="24"/>
        </w:rPr>
        <w:t>福建省应</w:t>
      </w:r>
      <w:r w:rsidRPr="00F52267">
        <w:rPr>
          <w:sz w:val="24"/>
          <w:szCs w:val="24"/>
        </w:rPr>
        <w:t>急管理厅</w:t>
      </w:r>
      <w:r w:rsidR="002805B5" w:rsidRPr="00F52267">
        <w:rPr>
          <w:rFonts w:hint="eastAsia"/>
          <w:sz w:val="24"/>
          <w:szCs w:val="24"/>
        </w:rPr>
        <w:t>依托现有省级一体化协同办公平台提供的标准功能服务，结合实际工作需求，对现有功能进行升级扩建，定制开发公文库、主动公开信息和厅外发文申请等功能模块；提供运营运维服务，包括系统升级、系统培训、技术支持、日常巡检、故障处理等服务；提供现场驻点运维服务，包括配备</w:t>
      </w:r>
      <w:r w:rsidR="002805B5" w:rsidRPr="00F52267">
        <w:rPr>
          <w:rFonts w:hint="eastAsia"/>
          <w:sz w:val="24"/>
          <w:szCs w:val="24"/>
        </w:rPr>
        <w:t>1</w:t>
      </w:r>
      <w:r w:rsidR="002805B5" w:rsidRPr="00F52267">
        <w:rPr>
          <w:rFonts w:hint="eastAsia"/>
          <w:sz w:val="24"/>
          <w:szCs w:val="24"/>
        </w:rPr>
        <w:t>名专业技术人员，提供</w:t>
      </w:r>
      <w:r w:rsidR="002805B5" w:rsidRPr="00F52267">
        <w:rPr>
          <w:rFonts w:hint="eastAsia"/>
          <w:sz w:val="24"/>
          <w:szCs w:val="24"/>
        </w:rPr>
        <w:t>5</w:t>
      </w:r>
      <w:r w:rsidR="002805B5" w:rsidRPr="00F52267">
        <w:rPr>
          <w:sz w:val="24"/>
          <w:szCs w:val="24"/>
        </w:rPr>
        <w:t>*8</w:t>
      </w:r>
      <w:r w:rsidR="002805B5" w:rsidRPr="00F52267">
        <w:rPr>
          <w:rFonts w:hint="eastAsia"/>
          <w:sz w:val="24"/>
          <w:szCs w:val="24"/>
        </w:rPr>
        <w:t>小时驻点运维保障，并提供</w:t>
      </w:r>
      <w:r w:rsidR="002805B5" w:rsidRPr="00F52267">
        <w:rPr>
          <w:rFonts w:hint="eastAsia"/>
          <w:sz w:val="24"/>
          <w:szCs w:val="24"/>
        </w:rPr>
        <w:t>7</w:t>
      </w:r>
      <w:r w:rsidR="002805B5" w:rsidRPr="00F52267">
        <w:rPr>
          <w:sz w:val="24"/>
          <w:szCs w:val="24"/>
        </w:rPr>
        <w:t>*24</w:t>
      </w:r>
      <w:r w:rsidR="002805B5" w:rsidRPr="00F52267">
        <w:rPr>
          <w:rFonts w:hint="eastAsia"/>
          <w:sz w:val="24"/>
          <w:szCs w:val="24"/>
        </w:rPr>
        <w:t>小时远程技术支撑服务。</w:t>
      </w:r>
    </w:p>
    <w:tbl>
      <w:tblPr>
        <w:tblStyle w:val="a3"/>
        <w:tblW w:w="0" w:type="auto"/>
        <w:tblLook w:val="04A0"/>
      </w:tblPr>
      <w:tblGrid>
        <w:gridCol w:w="959"/>
        <w:gridCol w:w="709"/>
        <w:gridCol w:w="5811"/>
        <w:gridCol w:w="1043"/>
      </w:tblGrid>
      <w:tr w:rsidR="009A3EF1" w:rsidTr="009A3EF1">
        <w:trPr>
          <w:trHeight w:val="388"/>
        </w:trPr>
        <w:tc>
          <w:tcPr>
            <w:tcW w:w="8522" w:type="dxa"/>
            <w:gridSpan w:val="4"/>
            <w:vAlign w:val="center"/>
          </w:tcPr>
          <w:p w:rsidR="009A3EF1" w:rsidRPr="009A3EF1" w:rsidRDefault="009A3EF1" w:rsidP="00194123">
            <w:pPr>
              <w:jc w:val="center"/>
              <w:rPr>
                <w:rFonts w:hAnsi="宋体"/>
                <w:b/>
                <w:sz w:val="24"/>
                <w:szCs w:val="24"/>
              </w:rPr>
            </w:pPr>
            <w:r w:rsidRPr="009A3EF1">
              <w:rPr>
                <w:rFonts w:hAnsi="宋体" w:hint="eastAsia"/>
                <w:b/>
                <w:sz w:val="24"/>
                <w:szCs w:val="24"/>
              </w:rPr>
              <w:t>功能定制开发</w:t>
            </w:r>
          </w:p>
        </w:tc>
      </w:tr>
      <w:tr w:rsidR="00194123" w:rsidRPr="009A3EF1" w:rsidTr="009A3EF1">
        <w:tc>
          <w:tcPr>
            <w:tcW w:w="1668" w:type="dxa"/>
            <w:gridSpan w:val="2"/>
            <w:vAlign w:val="center"/>
          </w:tcPr>
          <w:p w:rsidR="00194123" w:rsidRPr="009A3EF1" w:rsidRDefault="00194123" w:rsidP="00194123">
            <w:pPr>
              <w:jc w:val="center"/>
              <w:rPr>
                <w:rFonts w:hint="eastAsia"/>
                <w:b/>
              </w:rPr>
            </w:pPr>
            <w:r w:rsidRPr="009A3EF1">
              <w:rPr>
                <w:rFonts w:hint="eastAsia"/>
                <w:b/>
              </w:rPr>
              <w:t>功能能模块</w:t>
            </w:r>
          </w:p>
        </w:tc>
        <w:tc>
          <w:tcPr>
            <w:tcW w:w="5811" w:type="dxa"/>
            <w:vAlign w:val="center"/>
          </w:tcPr>
          <w:p w:rsidR="00194123" w:rsidRPr="009A3EF1" w:rsidRDefault="00194123" w:rsidP="00194123">
            <w:pPr>
              <w:jc w:val="center"/>
              <w:rPr>
                <w:b/>
              </w:rPr>
            </w:pPr>
            <w:r w:rsidRPr="009A3EF1">
              <w:rPr>
                <w:rFonts w:hint="eastAsia"/>
                <w:b/>
              </w:rPr>
              <w:t>技术要求</w:t>
            </w:r>
          </w:p>
        </w:tc>
        <w:tc>
          <w:tcPr>
            <w:tcW w:w="1043" w:type="dxa"/>
            <w:vAlign w:val="center"/>
          </w:tcPr>
          <w:p w:rsidR="00194123" w:rsidRPr="009A3EF1" w:rsidRDefault="00194123" w:rsidP="00194123">
            <w:pPr>
              <w:jc w:val="center"/>
              <w:rPr>
                <w:rFonts w:hint="eastAsia"/>
                <w:b/>
              </w:rPr>
            </w:pPr>
            <w:r w:rsidRPr="009A3EF1">
              <w:rPr>
                <w:rFonts w:hint="eastAsia"/>
                <w:b/>
              </w:rPr>
              <w:t>报价</w:t>
            </w:r>
          </w:p>
          <w:p w:rsidR="00194123" w:rsidRPr="009A3EF1" w:rsidRDefault="00194123" w:rsidP="00194123">
            <w:pPr>
              <w:jc w:val="center"/>
              <w:rPr>
                <w:b/>
              </w:rPr>
            </w:pPr>
            <w:r w:rsidRPr="009A3EF1">
              <w:rPr>
                <w:rFonts w:hint="eastAsia"/>
                <w:b/>
              </w:rPr>
              <w:t>（万元）</w:t>
            </w:r>
          </w:p>
        </w:tc>
      </w:tr>
      <w:tr w:rsidR="00194123" w:rsidTr="009A3EF1">
        <w:tc>
          <w:tcPr>
            <w:tcW w:w="959" w:type="dxa"/>
            <w:vMerge w:val="restart"/>
            <w:vAlign w:val="center"/>
          </w:tcPr>
          <w:p w:rsidR="00194123" w:rsidRDefault="00194123" w:rsidP="00194123">
            <w:pPr>
              <w:jc w:val="center"/>
            </w:pPr>
            <w:bookmarkStart w:id="0" w:name="_Toc119918678"/>
            <w:r>
              <w:rPr>
                <w:rFonts w:hint="eastAsia"/>
              </w:rPr>
              <w:t>公文库改造</w:t>
            </w:r>
            <w:bookmarkEnd w:id="0"/>
          </w:p>
        </w:tc>
        <w:tc>
          <w:tcPr>
            <w:tcW w:w="709" w:type="dxa"/>
            <w:vAlign w:val="center"/>
          </w:tcPr>
          <w:p w:rsidR="00194123" w:rsidRDefault="00194123" w:rsidP="00194123">
            <w:pPr>
              <w:jc w:val="center"/>
            </w:pPr>
            <w:bookmarkStart w:id="1" w:name="_Toc119918679"/>
            <w:r>
              <w:rPr>
                <w:rFonts w:hint="eastAsia"/>
              </w:rPr>
              <w:t>发文公文库</w:t>
            </w:r>
            <w:bookmarkEnd w:id="1"/>
          </w:p>
        </w:tc>
        <w:tc>
          <w:tcPr>
            <w:tcW w:w="5811" w:type="dxa"/>
            <w:vAlign w:val="center"/>
          </w:tcPr>
          <w:p w:rsidR="00194123" w:rsidRDefault="00194123" w:rsidP="00194123">
            <w:pPr>
              <w:jc w:val="left"/>
            </w:pPr>
            <w:r w:rsidRPr="00194123">
              <w:rPr>
                <w:rFonts w:hint="eastAsia"/>
              </w:rPr>
              <w:t>发文管理中的所有已归档电子公文库的文件，文件按照属性（限定、普发等）来区分是否上锁。此视图的展示列、搜索条件、排列的字段根据实际业务场景进行定制开发。</w:t>
            </w:r>
          </w:p>
        </w:tc>
        <w:tc>
          <w:tcPr>
            <w:tcW w:w="1043" w:type="dxa"/>
            <w:vAlign w:val="center"/>
          </w:tcPr>
          <w:p w:rsidR="00194123" w:rsidRDefault="00194123" w:rsidP="00194123">
            <w:pPr>
              <w:jc w:val="center"/>
            </w:pPr>
          </w:p>
        </w:tc>
      </w:tr>
      <w:tr w:rsidR="00194123" w:rsidTr="009A3EF1">
        <w:tc>
          <w:tcPr>
            <w:tcW w:w="959" w:type="dxa"/>
            <w:vMerge/>
            <w:vAlign w:val="center"/>
          </w:tcPr>
          <w:p w:rsidR="00194123" w:rsidRDefault="00194123" w:rsidP="00194123">
            <w:pPr>
              <w:jc w:val="center"/>
            </w:pPr>
          </w:p>
        </w:tc>
        <w:tc>
          <w:tcPr>
            <w:tcW w:w="709" w:type="dxa"/>
            <w:vAlign w:val="center"/>
          </w:tcPr>
          <w:p w:rsidR="00194123" w:rsidRDefault="00194123" w:rsidP="00194123">
            <w:pPr>
              <w:jc w:val="center"/>
            </w:pPr>
            <w:bookmarkStart w:id="2" w:name="_Toc119918680"/>
            <w:r>
              <w:rPr>
                <w:rFonts w:hint="eastAsia"/>
              </w:rPr>
              <w:t>收文公文库</w:t>
            </w:r>
            <w:bookmarkEnd w:id="2"/>
          </w:p>
        </w:tc>
        <w:tc>
          <w:tcPr>
            <w:tcW w:w="5811" w:type="dxa"/>
            <w:vAlign w:val="center"/>
          </w:tcPr>
          <w:p w:rsidR="00194123" w:rsidRDefault="00194123" w:rsidP="00194123">
            <w:pPr>
              <w:jc w:val="left"/>
            </w:pPr>
            <w:r w:rsidRPr="00194123">
              <w:rPr>
                <w:rFonts w:hint="eastAsia"/>
              </w:rPr>
              <w:t>收文管理中的所有已归档电子公文库的文件，文件按照属性（一般文件、限定文件）来区分是否上锁。此视图的展示列、搜索条件、排列的字段根据实际业务场景进行定制开发。</w:t>
            </w:r>
          </w:p>
        </w:tc>
        <w:tc>
          <w:tcPr>
            <w:tcW w:w="1043" w:type="dxa"/>
            <w:vAlign w:val="center"/>
          </w:tcPr>
          <w:p w:rsidR="00194123" w:rsidRDefault="00194123" w:rsidP="00194123">
            <w:pPr>
              <w:jc w:val="center"/>
            </w:pPr>
          </w:p>
        </w:tc>
      </w:tr>
      <w:tr w:rsidR="00194123" w:rsidTr="002805B5">
        <w:trPr>
          <w:trHeight w:val="1112"/>
        </w:trPr>
        <w:tc>
          <w:tcPr>
            <w:tcW w:w="959" w:type="dxa"/>
            <w:vMerge w:val="restart"/>
            <w:vAlign w:val="center"/>
          </w:tcPr>
          <w:p w:rsidR="00194123" w:rsidRDefault="00194123" w:rsidP="00194123">
            <w:pPr>
              <w:jc w:val="center"/>
            </w:pPr>
            <w:bookmarkStart w:id="3" w:name="_Toc119918681"/>
            <w:r>
              <w:rPr>
                <w:rFonts w:hint="eastAsia"/>
              </w:rPr>
              <w:t>主动公开</w:t>
            </w:r>
            <w:bookmarkEnd w:id="3"/>
            <w:r>
              <w:rPr>
                <w:rFonts w:hint="eastAsia"/>
              </w:rPr>
              <w:t>信息</w:t>
            </w:r>
          </w:p>
        </w:tc>
        <w:tc>
          <w:tcPr>
            <w:tcW w:w="709" w:type="dxa"/>
            <w:vAlign w:val="center"/>
          </w:tcPr>
          <w:p w:rsidR="00194123" w:rsidRDefault="00194123" w:rsidP="00194123">
            <w:pPr>
              <w:jc w:val="center"/>
            </w:pPr>
            <w:bookmarkStart w:id="4" w:name="_Toc119918682"/>
            <w:r>
              <w:rPr>
                <w:rFonts w:hint="eastAsia"/>
              </w:rPr>
              <w:t>生成索引号</w:t>
            </w:r>
            <w:bookmarkEnd w:id="4"/>
          </w:p>
        </w:tc>
        <w:tc>
          <w:tcPr>
            <w:tcW w:w="5811" w:type="dxa"/>
            <w:vAlign w:val="center"/>
          </w:tcPr>
          <w:p w:rsidR="00194123" w:rsidRDefault="00194123" w:rsidP="00194123">
            <w:pPr>
              <w:jc w:val="left"/>
            </w:pPr>
            <w:r w:rsidRPr="00194123">
              <w:rPr>
                <w:rFonts w:hint="eastAsia"/>
              </w:rPr>
              <w:t>定制开发编制索引号按钮，可对视图内的文件勾选后生成索引号。索引号的生成规则根据厅局实际需要：固定前缀</w:t>
            </w:r>
            <w:r w:rsidRPr="00194123">
              <w:rPr>
                <w:rFonts w:hint="eastAsia"/>
              </w:rPr>
              <w:t>+</w:t>
            </w:r>
            <w:r w:rsidRPr="00194123">
              <w:rPr>
                <w:rFonts w:hint="eastAsia"/>
              </w:rPr>
              <w:t>信息类别对应编号</w:t>
            </w:r>
            <w:r w:rsidRPr="00194123">
              <w:rPr>
                <w:rFonts w:hint="eastAsia"/>
              </w:rPr>
              <w:t>+</w:t>
            </w:r>
            <w:r w:rsidRPr="00194123">
              <w:rPr>
                <w:rFonts w:hint="eastAsia"/>
              </w:rPr>
              <w:t>流水号，不随着信息类别对应编号变更而变更。</w:t>
            </w:r>
          </w:p>
        </w:tc>
        <w:tc>
          <w:tcPr>
            <w:tcW w:w="1043" w:type="dxa"/>
            <w:vAlign w:val="center"/>
          </w:tcPr>
          <w:p w:rsidR="00194123" w:rsidRDefault="00194123" w:rsidP="00194123">
            <w:pPr>
              <w:jc w:val="center"/>
            </w:pPr>
          </w:p>
        </w:tc>
      </w:tr>
      <w:tr w:rsidR="00194123" w:rsidTr="009A3EF1">
        <w:tc>
          <w:tcPr>
            <w:tcW w:w="959" w:type="dxa"/>
            <w:vMerge/>
            <w:vAlign w:val="center"/>
          </w:tcPr>
          <w:p w:rsidR="00194123" w:rsidRDefault="00194123" w:rsidP="00194123">
            <w:pPr>
              <w:jc w:val="center"/>
            </w:pPr>
          </w:p>
        </w:tc>
        <w:tc>
          <w:tcPr>
            <w:tcW w:w="709" w:type="dxa"/>
            <w:vAlign w:val="center"/>
          </w:tcPr>
          <w:p w:rsidR="00194123" w:rsidRDefault="00194123" w:rsidP="00194123">
            <w:pPr>
              <w:jc w:val="center"/>
            </w:pPr>
            <w:bookmarkStart w:id="5" w:name="_Toc119918683"/>
            <w:r>
              <w:rPr>
                <w:rFonts w:hint="eastAsia"/>
              </w:rPr>
              <w:t>删除索引号</w:t>
            </w:r>
            <w:bookmarkEnd w:id="5"/>
          </w:p>
        </w:tc>
        <w:tc>
          <w:tcPr>
            <w:tcW w:w="5811" w:type="dxa"/>
            <w:vAlign w:val="center"/>
          </w:tcPr>
          <w:p w:rsidR="00194123" w:rsidRDefault="00194123" w:rsidP="00194123">
            <w:pPr>
              <w:jc w:val="left"/>
            </w:pPr>
            <w:r w:rsidRPr="00194123">
              <w:rPr>
                <w:rFonts w:hint="eastAsia"/>
              </w:rPr>
              <w:t>定制删除索引号按钮，可对视图内已经生成的索引号的文件，勾选删除索引号，在删除后，此时系统漏号，如果再对别的视图内文件生成索引号时需要进行自动补号。</w:t>
            </w:r>
          </w:p>
        </w:tc>
        <w:tc>
          <w:tcPr>
            <w:tcW w:w="1043" w:type="dxa"/>
            <w:vAlign w:val="center"/>
          </w:tcPr>
          <w:p w:rsidR="00194123" w:rsidRDefault="00194123" w:rsidP="00194123">
            <w:pPr>
              <w:jc w:val="center"/>
            </w:pPr>
          </w:p>
        </w:tc>
      </w:tr>
      <w:tr w:rsidR="00194123" w:rsidTr="009A3EF1">
        <w:tc>
          <w:tcPr>
            <w:tcW w:w="959" w:type="dxa"/>
            <w:vMerge/>
            <w:vAlign w:val="center"/>
          </w:tcPr>
          <w:p w:rsidR="00194123" w:rsidRDefault="00194123" w:rsidP="00194123">
            <w:pPr>
              <w:jc w:val="center"/>
            </w:pPr>
          </w:p>
        </w:tc>
        <w:tc>
          <w:tcPr>
            <w:tcW w:w="709" w:type="dxa"/>
            <w:vAlign w:val="center"/>
          </w:tcPr>
          <w:p w:rsidR="00194123" w:rsidRDefault="00194123" w:rsidP="00194123">
            <w:pPr>
              <w:jc w:val="center"/>
              <w:rPr>
                <w:rFonts w:hint="eastAsia"/>
              </w:rPr>
            </w:pPr>
            <w:bookmarkStart w:id="6" w:name="_Toc119918684"/>
            <w:r>
              <w:rPr>
                <w:rFonts w:hint="eastAsia"/>
              </w:rPr>
              <w:t>生成特定格式文件</w:t>
            </w:r>
            <w:bookmarkEnd w:id="6"/>
          </w:p>
        </w:tc>
        <w:tc>
          <w:tcPr>
            <w:tcW w:w="5811" w:type="dxa"/>
            <w:vAlign w:val="center"/>
          </w:tcPr>
          <w:p w:rsidR="00194123" w:rsidRDefault="00194123" w:rsidP="00194123">
            <w:pPr>
              <w:jc w:val="left"/>
            </w:pPr>
            <w:r w:rsidRPr="00194123">
              <w:rPr>
                <w:rFonts w:hint="eastAsia"/>
              </w:rPr>
              <w:t>定制开发生成文件按钮，可对视图内的文件进行勾选后，勾选的文件每一篇对应生成厅局需求的</w:t>
            </w:r>
            <w:r w:rsidRPr="00194123">
              <w:rPr>
                <w:rFonts w:hint="eastAsia"/>
              </w:rPr>
              <w:t>XML</w:t>
            </w:r>
            <w:r w:rsidRPr="00194123">
              <w:rPr>
                <w:rFonts w:hint="eastAsia"/>
              </w:rPr>
              <w:t>格式文件，多篇文件生成的多个</w:t>
            </w:r>
            <w:r w:rsidRPr="00194123">
              <w:rPr>
                <w:rFonts w:hint="eastAsia"/>
              </w:rPr>
              <w:t>XML</w:t>
            </w:r>
            <w:r w:rsidRPr="00194123">
              <w:rPr>
                <w:rFonts w:hint="eastAsia"/>
              </w:rPr>
              <w:t>文件应打包为一个压缩包。</w:t>
            </w:r>
          </w:p>
        </w:tc>
        <w:tc>
          <w:tcPr>
            <w:tcW w:w="1043" w:type="dxa"/>
            <w:vAlign w:val="center"/>
          </w:tcPr>
          <w:p w:rsidR="00194123" w:rsidRDefault="00194123" w:rsidP="00194123">
            <w:pPr>
              <w:jc w:val="center"/>
            </w:pPr>
          </w:p>
        </w:tc>
      </w:tr>
      <w:tr w:rsidR="009A3EF1" w:rsidTr="002805B5">
        <w:trPr>
          <w:trHeight w:val="2400"/>
        </w:trPr>
        <w:tc>
          <w:tcPr>
            <w:tcW w:w="959" w:type="dxa"/>
            <w:vMerge w:val="restart"/>
            <w:vAlign w:val="center"/>
          </w:tcPr>
          <w:p w:rsidR="009A3EF1" w:rsidRDefault="009A3EF1" w:rsidP="00194123">
            <w:pPr>
              <w:jc w:val="center"/>
            </w:pPr>
            <w:bookmarkStart w:id="7" w:name="_Toc119918685"/>
            <w:r w:rsidRPr="0064685F">
              <w:rPr>
                <w:rFonts w:hint="eastAsia"/>
              </w:rPr>
              <w:t>厅外发文请示</w:t>
            </w:r>
            <w:bookmarkEnd w:id="7"/>
          </w:p>
        </w:tc>
        <w:tc>
          <w:tcPr>
            <w:tcW w:w="709" w:type="dxa"/>
            <w:vAlign w:val="center"/>
          </w:tcPr>
          <w:p w:rsidR="009A3EF1" w:rsidRDefault="009A3EF1" w:rsidP="00194123">
            <w:pPr>
              <w:jc w:val="center"/>
              <w:rPr>
                <w:rFonts w:hint="eastAsia"/>
              </w:rPr>
            </w:pPr>
            <w:bookmarkStart w:id="8" w:name="_Toc119918686"/>
            <w:r>
              <w:rPr>
                <w:rFonts w:hint="eastAsia"/>
              </w:rPr>
              <w:t>待办请示</w:t>
            </w:r>
            <w:bookmarkEnd w:id="8"/>
          </w:p>
        </w:tc>
        <w:tc>
          <w:tcPr>
            <w:tcW w:w="5811" w:type="dxa"/>
            <w:vAlign w:val="center"/>
          </w:tcPr>
          <w:p w:rsidR="009A3EF1" w:rsidRDefault="009A3EF1" w:rsidP="00194123">
            <w:pPr>
              <w:jc w:val="left"/>
            </w:pPr>
            <w:r w:rsidRPr="00194123">
              <w:rPr>
                <w:rFonts w:hint="eastAsia"/>
              </w:rPr>
              <w:t>待发文管理中的发文文件办结后，定制开发一流程按钮，点击此按钮出现提示可选择是否发起请示流程，选择“是”时，可以启动相应的请示流程、弹出页面回填当前发文的相关信息，页面中链接当前发文的标题和附件。或可在待办请示里新增，新增操作弹出的表单页面需要能关联用户已办结的发文、收文，关联选中文件后链接选中文件的标题和附件。收到请示的处理人也在此视图对文件进行确认，点击文件打开后可意见填写、基本信息的修改等，也可在视图内查询待办请示。</w:t>
            </w:r>
          </w:p>
        </w:tc>
        <w:tc>
          <w:tcPr>
            <w:tcW w:w="1043" w:type="dxa"/>
            <w:vAlign w:val="center"/>
          </w:tcPr>
          <w:p w:rsidR="009A3EF1" w:rsidRDefault="009A3EF1" w:rsidP="00194123">
            <w:pPr>
              <w:jc w:val="center"/>
            </w:pPr>
          </w:p>
        </w:tc>
      </w:tr>
      <w:tr w:rsidR="009A3EF1" w:rsidTr="002805B5">
        <w:trPr>
          <w:trHeight w:val="1110"/>
        </w:trPr>
        <w:tc>
          <w:tcPr>
            <w:tcW w:w="959" w:type="dxa"/>
            <w:vMerge/>
            <w:vAlign w:val="center"/>
          </w:tcPr>
          <w:p w:rsidR="009A3EF1" w:rsidRDefault="009A3EF1" w:rsidP="00194123">
            <w:pPr>
              <w:jc w:val="center"/>
            </w:pPr>
          </w:p>
        </w:tc>
        <w:tc>
          <w:tcPr>
            <w:tcW w:w="709" w:type="dxa"/>
            <w:vAlign w:val="center"/>
          </w:tcPr>
          <w:p w:rsidR="009A3EF1" w:rsidRDefault="009A3EF1" w:rsidP="00194123">
            <w:pPr>
              <w:jc w:val="center"/>
              <w:rPr>
                <w:rFonts w:hint="eastAsia"/>
              </w:rPr>
            </w:pPr>
            <w:bookmarkStart w:id="9" w:name="_Toc119918687"/>
            <w:r>
              <w:rPr>
                <w:rFonts w:hint="eastAsia"/>
              </w:rPr>
              <w:t>办结请示</w:t>
            </w:r>
            <w:bookmarkEnd w:id="9"/>
          </w:p>
        </w:tc>
        <w:tc>
          <w:tcPr>
            <w:tcW w:w="5811" w:type="dxa"/>
            <w:vAlign w:val="center"/>
          </w:tcPr>
          <w:p w:rsidR="009A3EF1" w:rsidRDefault="009A3EF1" w:rsidP="00194123">
            <w:pPr>
              <w:jc w:val="left"/>
            </w:pPr>
            <w:r w:rsidRPr="00194123">
              <w:rPr>
                <w:rFonts w:hint="eastAsia"/>
              </w:rPr>
              <w:t>存放已办结的请示文件，用户可对办结请示进行查看操作，包括请示的流转情况、查看请示的基本信息等，以及办结请示视图内的办结请示查询。</w:t>
            </w:r>
          </w:p>
        </w:tc>
        <w:tc>
          <w:tcPr>
            <w:tcW w:w="1043" w:type="dxa"/>
            <w:vAlign w:val="center"/>
          </w:tcPr>
          <w:p w:rsidR="009A3EF1" w:rsidRDefault="009A3EF1" w:rsidP="00194123">
            <w:pPr>
              <w:jc w:val="center"/>
            </w:pPr>
          </w:p>
        </w:tc>
      </w:tr>
      <w:tr w:rsidR="009A3EF1" w:rsidTr="009A3EF1">
        <w:trPr>
          <w:trHeight w:val="399"/>
        </w:trPr>
        <w:tc>
          <w:tcPr>
            <w:tcW w:w="7479" w:type="dxa"/>
            <w:gridSpan w:val="3"/>
            <w:vAlign w:val="center"/>
          </w:tcPr>
          <w:p w:rsidR="009A3EF1" w:rsidRPr="009A3EF1" w:rsidRDefault="009A3EF1" w:rsidP="009A3EF1">
            <w:pPr>
              <w:jc w:val="right"/>
              <w:rPr>
                <w:rFonts w:hint="eastAsia"/>
                <w:b/>
              </w:rPr>
            </w:pPr>
            <w:r w:rsidRPr="009A3EF1">
              <w:rPr>
                <w:rFonts w:hint="eastAsia"/>
                <w:b/>
              </w:rPr>
              <w:lastRenderedPageBreak/>
              <w:t>合计：</w:t>
            </w:r>
          </w:p>
        </w:tc>
        <w:tc>
          <w:tcPr>
            <w:tcW w:w="1043" w:type="dxa"/>
            <w:vAlign w:val="center"/>
          </w:tcPr>
          <w:p w:rsidR="009A3EF1" w:rsidRDefault="009A3EF1" w:rsidP="00194123">
            <w:pPr>
              <w:jc w:val="center"/>
            </w:pPr>
          </w:p>
        </w:tc>
      </w:tr>
      <w:tr w:rsidR="009A3EF1" w:rsidTr="006C6923">
        <w:trPr>
          <w:trHeight w:val="422"/>
        </w:trPr>
        <w:tc>
          <w:tcPr>
            <w:tcW w:w="8522" w:type="dxa"/>
            <w:gridSpan w:val="4"/>
            <w:vAlign w:val="center"/>
          </w:tcPr>
          <w:p w:rsidR="009A3EF1" w:rsidRDefault="009A3EF1" w:rsidP="009A3EF1">
            <w:pPr>
              <w:jc w:val="center"/>
            </w:pPr>
            <w:r w:rsidRPr="009A3EF1">
              <w:rPr>
                <w:rFonts w:hAnsi="宋体" w:hint="eastAsia"/>
                <w:b/>
                <w:sz w:val="24"/>
                <w:szCs w:val="24"/>
              </w:rPr>
              <w:t>系统运维保障</w:t>
            </w:r>
          </w:p>
        </w:tc>
      </w:tr>
      <w:tr w:rsidR="009A3EF1" w:rsidTr="009A3EF1">
        <w:tc>
          <w:tcPr>
            <w:tcW w:w="1668" w:type="dxa"/>
            <w:gridSpan w:val="2"/>
            <w:vAlign w:val="center"/>
          </w:tcPr>
          <w:p w:rsidR="009A3EF1" w:rsidRPr="00EC37D2" w:rsidRDefault="009A3EF1" w:rsidP="009A3EF1">
            <w:pPr>
              <w:spacing w:line="480" w:lineRule="exact"/>
              <w:jc w:val="center"/>
            </w:pPr>
            <w:r w:rsidRPr="00EC37D2">
              <w:rPr>
                <w:rFonts w:hint="eastAsia"/>
              </w:rPr>
              <w:t>日常巡检</w:t>
            </w:r>
          </w:p>
        </w:tc>
        <w:tc>
          <w:tcPr>
            <w:tcW w:w="5811" w:type="dxa"/>
            <w:vAlign w:val="center"/>
          </w:tcPr>
          <w:p w:rsidR="009A3EF1" w:rsidRPr="00EC37D2" w:rsidRDefault="009A3EF1" w:rsidP="000F5302">
            <w:pPr>
              <w:spacing w:line="480" w:lineRule="exact"/>
            </w:pPr>
            <w:r w:rsidRPr="00EC37D2">
              <w:rPr>
                <w:rFonts w:hint="eastAsia"/>
              </w:rPr>
              <w:t>关键服务巡检：云文档服务、签章服务、短信服务、网关服务等关键服务进行可用性、响应速度、稳定性等方面的巡检。</w:t>
            </w:r>
          </w:p>
          <w:p w:rsidR="009A3EF1" w:rsidRPr="00EC37D2" w:rsidRDefault="009A3EF1" w:rsidP="000F5302">
            <w:pPr>
              <w:spacing w:line="480" w:lineRule="exact"/>
            </w:pPr>
            <w:r w:rsidRPr="00EC37D2">
              <w:rPr>
                <w:rFonts w:hint="eastAsia"/>
              </w:rPr>
              <w:t>核心系统功能巡检：对服务内的重要业务功能进行巡检，验证其可用性。涉及到的服务器巡检：对本服务涉及到的服务器的</w:t>
            </w:r>
            <w:r w:rsidRPr="00EC37D2">
              <w:rPr>
                <w:rFonts w:hint="eastAsia"/>
              </w:rPr>
              <w:t>CPU</w:t>
            </w:r>
            <w:r w:rsidRPr="00EC37D2">
              <w:rPr>
                <w:rFonts w:hint="eastAsia"/>
              </w:rPr>
              <w:t>、内存、硬盘等使用情况进行日常巡检。</w:t>
            </w:r>
          </w:p>
        </w:tc>
        <w:tc>
          <w:tcPr>
            <w:tcW w:w="1043" w:type="dxa"/>
            <w:vMerge w:val="restart"/>
            <w:vAlign w:val="center"/>
          </w:tcPr>
          <w:p w:rsidR="009A3EF1" w:rsidRDefault="009A3EF1" w:rsidP="00194123">
            <w:pPr>
              <w:jc w:val="center"/>
            </w:pPr>
          </w:p>
        </w:tc>
      </w:tr>
      <w:tr w:rsidR="009A3EF1" w:rsidTr="009A3EF1">
        <w:tc>
          <w:tcPr>
            <w:tcW w:w="1668" w:type="dxa"/>
            <w:gridSpan w:val="2"/>
            <w:vAlign w:val="center"/>
          </w:tcPr>
          <w:p w:rsidR="009A3EF1" w:rsidRPr="00EC37D2" w:rsidRDefault="009A3EF1" w:rsidP="009A3EF1">
            <w:pPr>
              <w:spacing w:line="480" w:lineRule="exact"/>
              <w:jc w:val="center"/>
            </w:pPr>
            <w:r w:rsidRPr="00EC37D2">
              <w:rPr>
                <w:rFonts w:hint="eastAsia"/>
              </w:rPr>
              <w:t>需求变更</w:t>
            </w:r>
          </w:p>
        </w:tc>
        <w:tc>
          <w:tcPr>
            <w:tcW w:w="5811" w:type="dxa"/>
            <w:vAlign w:val="center"/>
          </w:tcPr>
          <w:p w:rsidR="009A3EF1" w:rsidRPr="00EC37D2" w:rsidRDefault="009A3EF1" w:rsidP="000F5302">
            <w:pPr>
              <w:spacing w:line="480" w:lineRule="exact"/>
            </w:pPr>
            <w:r w:rsidRPr="00EC37D2">
              <w:rPr>
                <w:rFonts w:hint="eastAsia"/>
              </w:rPr>
              <w:t>接收标准服务内的需求变更工单处理。接收到用户标准服务内的需求变更申请后，在</w:t>
            </w:r>
            <w:r w:rsidRPr="00EC37D2">
              <w:rPr>
                <w:rFonts w:hint="eastAsia"/>
              </w:rPr>
              <w:t>24</w:t>
            </w:r>
            <w:r w:rsidRPr="00EC37D2">
              <w:rPr>
                <w:rFonts w:hint="eastAsia"/>
              </w:rPr>
              <w:t>小时内响应，并给予处理反馈意见及处理办法。</w:t>
            </w:r>
          </w:p>
        </w:tc>
        <w:tc>
          <w:tcPr>
            <w:tcW w:w="1043" w:type="dxa"/>
            <w:vMerge/>
            <w:vAlign w:val="center"/>
          </w:tcPr>
          <w:p w:rsidR="009A3EF1" w:rsidRDefault="009A3EF1" w:rsidP="00194123">
            <w:pPr>
              <w:jc w:val="center"/>
            </w:pPr>
          </w:p>
        </w:tc>
      </w:tr>
      <w:tr w:rsidR="009A3EF1" w:rsidTr="009A3EF1">
        <w:tc>
          <w:tcPr>
            <w:tcW w:w="1668" w:type="dxa"/>
            <w:gridSpan w:val="2"/>
            <w:vAlign w:val="center"/>
          </w:tcPr>
          <w:p w:rsidR="009A3EF1" w:rsidRPr="00EC37D2" w:rsidRDefault="009A3EF1" w:rsidP="009A3EF1">
            <w:pPr>
              <w:spacing w:line="480" w:lineRule="exact"/>
              <w:jc w:val="center"/>
            </w:pPr>
            <w:r w:rsidRPr="00EC37D2">
              <w:rPr>
                <w:rFonts w:hint="eastAsia"/>
              </w:rPr>
              <w:t>技术支持</w:t>
            </w:r>
          </w:p>
        </w:tc>
        <w:tc>
          <w:tcPr>
            <w:tcW w:w="5811" w:type="dxa"/>
            <w:vAlign w:val="center"/>
          </w:tcPr>
          <w:p w:rsidR="009A3EF1" w:rsidRPr="00EC37D2" w:rsidRDefault="009A3EF1" w:rsidP="000F5302">
            <w:pPr>
              <w:spacing w:line="480" w:lineRule="exact"/>
            </w:pPr>
            <w:r w:rsidRPr="00EC37D2">
              <w:rPr>
                <w:rFonts w:hint="eastAsia"/>
              </w:rPr>
              <w:t>对服务内遇到的技术问题提供</w:t>
            </w:r>
            <w:r w:rsidRPr="00EC37D2">
              <w:rPr>
                <w:rFonts w:hint="eastAsia"/>
              </w:rPr>
              <w:t>24</w:t>
            </w:r>
            <w:r w:rsidRPr="00EC37D2">
              <w:rPr>
                <w:rFonts w:hint="eastAsia"/>
              </w:rPr>
              <w:t>小时技术支持，包括电话技术支持、远程技术支持，若以上方式无法解决时，提供现场技术支持。支持内容包括平台运行基础环境、平台软件系统本身的操作及系统配置、协助系统接入、扩容、安全部署等。</w:t>
            </w:r>
          </w:p>
        </w:tc>
        <w:tc>
          <w:tcPr>
            <w:tcW w:w="1043" w:type="dxa"/>
            <w:vMerge/>
            <w:vAlign w:val="center"/>
          </w:tcPr>
          <w:p w:rsidR="009A3EF1" w:rsidRDefault="009A3EF1" w:rsidP="00194123">
            <w:pPr>
              <w:jc w:val="center"/>
            </w:pPr>
          </w:p>
        </w:tc>
      </w:tr>
      <w:tr w:rsidR="009A3EF1" w:rsidTr="009A3EF1">
        <w:tc>
          <w:tcPr>
            <w:tcW w:w="1668" w:type="dxa"/>
            <w:gridSpan w:val="2"/>
            <w:vAlign w:val="center"/>
          </w:tcPr>
          <w:p w:rsidR="009A3EF1" w:rsidRPr="00EC37D2" w:rsidRDefault="009A3EF1" w:rsidP="009A3EF1">
            <w:pPr>
              <w:spacing w:line="480" w:lineRule="exact"/>
              <w:jc w:val="center"/>
            </w:pPr>
            <w:r w:rsidRPr="00EC37D2">
              <w:rPr>
                <w:rFonts w:hint="eastAsia"/>
              </w:rPr>
              <w:t>系统升级</w:t>
            </w:r>
          </w:p>
        </w:tc>
        <w:tc>
          <w:tcPr>
            <w:tcW w:w="5811" w:type="dxa"/>
            <w:vAlign w:val="center"/>
          </w:tcPr>
          <w:p w:rsidR="009A3EF1" w:rsidRPr="00EC37D2" w:rsidRDefault="009A3EF1" w:rsidP="000F5302">
            <w:pPr>
              <w:spacing w:line="480" w:lineRule="exact"/>
            </w:pPr>
            <w:r w:rsidRPr="00EC37D2">
              <w:rPr>
                <w:rFonts w:hint="eastAsia"/>
              </w:rPr>
              <w:t>云协同提供系统功能的持续升级，并根据三级等保的要求，持续升级系统安全防护措施。</w:t>
            </w:r>
          </w:p>
        </w:tc>
        <w:tc>
          <w:tcPr>
            <w:tcW w:w="1043" w:type="dxa"/>
            <w:vMerge/>
            <w:vAlign w:val="center"/>
          </w:tcPr>
          <w:p w:rsidR="009A3EF1" w:rsidRDefault="009A3EF1" w:rsidP="00194123">
            <w:pPr>
              <w:jc w:val="center"/>
            </w:pPr>
          </w:p>
        </w:tc>
      </w:tr>
      <w:tr w:rsidR="009A3EF1" w:rsidTr="009A3EF1">
        <w:tc>
          <w:tcPr>
            <w:tcW w:w="1668" w:type="dxa"/>
            <w:gridSpan w:val="2"/>
            <w:vAlign w:val="center"/>
          </w:tcPr>
          <w:p w:rsidR="009A3EF1" w:rsidRPr="00EC37D2" w:rsidRDefault="009A3EF1" w:rsidP="009A3EF1">
            <w:pPr>
              <w:spacing w:line="480" w:lineRule="exact"/>
              <w:jc w:val="center"/>
            </w:pPr>
            <w:r w:rsidRPr="00EC37D2">
              <w:rPr>
                <w:rFonts w:hint="eastAsia"/>
              </w:rPr>
              <w:t>故障处理</w:t>
            </w:r>
          </w:p>
        </w:tc>
        <w:tc>
          <w:tcPr>
            <w:tcW w:w="5811" w:type="dxa"/>
            <w:vAlign w:val="center"/>
          </w:tcPr>
          <w:p w:rsidR="009A3EF1" w:rsidRPr="00EC37D2" w:rsidRDefault="009A3EF1" w:rsidP="000F5302">
            <w:pPr>
              <w:spacing w:line="480" w:lineRule="exact"/>
            </w:pPr>
            <w:r w:rsidRPr="00EC37D2">
              <w:rPr>
                <w:rFonts w:hint="eastAsia"/>
              </w:rPr>
              <w:t>遇到故障第一时间接入处理</w:t>
            </w:r>
          </w:p>
        </w:tc>
        <w:tc>
          <w:tcPr>
            <w:tcW w:w="1043" w:type="dxa"/>
            <w:vMerge/>
            <w:vAlign w:val="center"/>
          </w:tcPr>
          <w:p w:rsidR="009A3EF1" w:rsidRDefault="009A3EF1" w:rsidP="00194123">
            <w:pPr>
              <w:jc w:val="center"/>
            </w:pPr>
          </w:p>
        </w:tc>
      </w:tr>
      <w:tr w:rsidR="009A3EF1" w:rsidTr="009A3EF1">
        <w:tc>
          <w:tcPr>
            <w:tcW w:w="1668" w:type="dxa"/>
            <w:gridSpan w:val="2"/>
            <w:vAlign w:val="center"/>
          </w:tcPr>
          <w:p w:rsidR="009A3EF1" w:rsidRPr="00EC37D2" w:rsidRDefault="009A3EF1" w:rsidP="009A3EF1">
            <w:pPr>
              <w:spacing w:line="480" w:lineRule="exact"/>
              <w:jc w:val="center"/>
            </w:pPr>
            <w:r w:rsidRPr="00EC37D2">
              <w:rPr>
                <w:rFonts w:hint="eastAsia"/>
              </w:rPr>
              <w:t>个性化功能运维服务</w:t>
            </w:r>
          </w:p>
        </w:tc>
        <w:tc>
          <w:tcPr>
            <w:tcW w:w="5811" w:type="dxa"/>
            <w:vAlign w:val="center"/>
          </w:tcPr>
          <w:p w:rsidR="009A3EF1" w:rsidRPr="00EC37D2" w:rsidRDefault="009A3EF1" w:rsidP="000F5302">
            <w:pPr>
              <w:spacing w:line="480" w:lineRule="exact"/>
            </w:pPr>
            <w:r w:rsidRPr="00EC37D2">
              <w:rPr>
                <w:rFonts w:hint="eastAsia"/>
              </w:rPr>
              <w:t>对福建省应急管理厅省级一体化协同办公平台个性化建设内容提供运维服务，保障福建省应急管理厅省级一体化协同办公平台个性化功能的正常运行。</w:t>
            </w:r>
          </w:p>
        </w:tc>
        <w:tc>
          <w:tcPr>
            <w:tcW w:w="1043" w:type="dxa"/>
            <w:vMerge/>
            <w:vAlign w:val="center"/>
          </w:tcPr>
          <w:p w:rsidR="009A3EF1" w:rsidRDefault="009A3EF1" w:rsidP="00194123">
            <w:pPr>
              <w:jc w:val="center"/>
            </w:pPr>
          </w:p>
        </w:tc>
      </w:tr>
      <w:tr w:rsidR="009A3EF1" w:rsidTr="00422AB5">
        <w:tc>
          <w:tcPr>
            <w:tcW w:w="7479" w:type="dxa"/>
            <w:gridSpan w:val="3"/>
            <w:vAlign w:val="center"/>
          </w:tcPr>
          <w:p w:rsidR="009A3EF1" w:rsidRPr="009A3EF1" w:rsidRDefault="009A3EF1" w:rsidP="009A3EF1">
            <w:pPr>
              <w:spacing w:line="480" w:lineRule="exact"/>
              <w:jc w:val="right"/>
              <w:rPr>
                <w:rFonts w:hint="eastAsia"/>
                <w:b/>
              </w:rPr>
            </w:pPr>
            <w:r w:rsidRPr="009A3EF1">
              <w:rPr>
                <w:rFonts w:hint="eastAsia"/>
                <w:b/>
              </w:rPr>
              <w:t>合计：</w:t>
            </w:r>
          </w:p>
        </w:tc>
        <w:tc>
          <w:tcPr>
            <w:tcW w:w="1043" w:type="dxa"/>
            <w:vAlign w:val="center"/>
          </w:tcPr>
          <w:p w:rsidR="009A3EF1" w:rsidRDefault="009A3EF1" w:rsidP="00194123">
            <w:pPr>
              <w:jc w:val="center"/>
            </w:pPr>
          </w:p>
        </w:tc>
      </w:tr>
      <w:tr w:rsidR="00194123" w:rsidTr="009A3EF1">
        <w:trPr>
          <w:trHeight w:val="441"/>
        </w:trPr>
        <w:tc>
          <w:tcPr>
            <w:tcW w:w="8522" w:type="dxa"/>
            <w:gridSpan w:val="4"/>
            <w:vAlign w:val="center"/>
          </w:tcPr>
          <w:p w:rsidR="00194123" w:rsidRPr="009A3EF1" w:rsidRDefault="00194123" w:rsidP="00194123">
            <w:pPr>
              <w:jc w:val="center"/>
              <w:rPr>
                <w:b/>
                <w:sz w:val="24"/>
                <w:szCs w:val="24"/>
              </w:rPr>
            </w:pPr>
            <w:r w:rsidRPr="009A3EF1">
              <w:rPr>
                <w:rFonts w:hAnsi="宋体" w:hint="eastAsia"/>
                <w:b/>
                <w:sz w:val="24"/>
                <w:szCs w:val="24"/>
              </w:rPr>
              <w:t>驻点保障服务</w:t>
            </w:r>
          </w:p>
        </w:tc>
      </w:tr>
      <w:tr w:rsidR="00194123" w:rsidTr="009A3EF1">
        <w:tc>
          <w:tcPr>
            <w:tcW w:w="1668" w:type="dxa"/>
            <w:gridSpan w:val="2"/>
            <w:vAlign w:val="center"/>
          </w:tcPr>
          <w:p w:rsidR="00194123" w:rsidRPr="00EC37D2" w:rsidRDefault="00194123" w:rsidP="000F5302">
            <w:pPr>
              <w:spacing w:line="480" w:lineRule="exact"/>
              <w:rPr>
                <w:rFonts w:hint="eastAsia"/>
              </w:rPr>
            </w:pPr>
            <w:r w:rsidRPr="00194123">
              <w:rPr>
                <w:rFonts w:hint="eastAsia"/>
              </w:rPr>
              <w:t>提供现场驻点运维服务</w:t>
            </w:r>
          </w:p>
        </w:tc>
        <w:tc>
          <w:tcPr>
            <w:tcW w:w="5811" w:type="dxa"/>
            <w:vAlign w:val="center"/>
          </w:tcPr>
          <w:p w:rsidR="00194123" w:rsidRPr="00194123" w:rsidRDefault="00194123" w:rsidP="00194123">
            <w:pPr>
              <w:spacing w:line="480" w:lineRule="exact"/>
              <w:ind w:firstLineChars="200" w:firstLine="420"/>
            </w:pPr>
            <w:r w:rsidRPr="00194123">
              <w:rPr>
                <w:rFonts w:hint="eastAsia"/>
              </w:rPr>
              <w:t>配备</w:t>
            </w:r>
            <w:r w:rsidRPr="00194123">
              <w:rPr>
                <w:rFonts w:hint="eastAsia"/>
              </w:rPr>
              <w:t>1</w:t>
            </w:r>
            <w:r w:rsidRPr="00194123">
              <w:rPr>
                <w:rFonts w:hint="eastAsia"/>
              </w:rPr>
              <w:t>名专业技术人员，提供</w:t>
            </w:r>
            <w:r w:rsidRPr="00194123">
              <w:rPr>
                <w:rFonts w:hint="eastAsia"/>
              </w:rPr>
              <w:t>5*8</w:t>
            </w:r>
            <w:r w:rsidRPr="00194123">
              <w:rPr>
                <w:rFonts w:hint="eastAsia"/>
              </w:rPr>
              <w:t>小时驻点运维保障，并提供</w:t>
            </w:r>
            <w:r w:rsidRPr="00194123">
              <w:rPr>
                <w:rFonts w:hint="eastAsia"/>
              </w:rPr>
              <w:t>7*24</w:t>
            </w:r>
            <w:r w:rsidRPr="00194123">
              <w:rPr>
                <w:rFonts w:hint="eastAsia"/>
              </w:rPr>
              <w:t>小时远程技术支撑服务。驻点服务内容如下：</w:t>
            </w:r>
          </w:p>
          <w:p w:rsidR="00194123" w:rsidRPr="00194123" w:rsidRDefault="00194123" w:rsidP="000F5302">
            <w:pPr>
              <w:spacing w:line="480" w:lineRule="exact"/>
              <w:ind w:firstLine="560"/>
            </w:pPr>
            <w:r w:rsidRPr="00194123">
              <w:rPr>
                <w:rFonts w:hint="eastAsia"/>
                <w:b/>
              </w:rPr>
              <w:t>1.</w:t>
            </w:r>
            <w:bookmarkStart w:id="10" w:name="_Toc110445336"/>
            <w:r w:rsidRPr="00194123">
              <w:rPr>
                <w:rFonts w:hint="eastAsia"/>
                <w:b/>
              </w:rPr>
              <w:t>日常使用培训</w:t>
            </w:r>
            <w:bookmarkEnd w:id="10"/>
            <w:r w:rsidRPr="00194123">
              <w:rPr>
                <w:rFonts w:hint="eastAsia"/>
                <w:b/>
              </w:rPr>
              <w:t>。</w:t>
            </w:r>
            <w:r w:rsidRPr="00194123">
              <w:rPr>
                <w:rFonts w:hint="eastAsia"/>
              </w:rPr>
              <w:t>对服务范围内的功能模块进行集中培训，培训时间与培训内容根据实际情况而定。</w:t>
            </w:r>
          </w:p>
          <w:p w:rsidR="00194123" w:rsidRPr="00194123" w:rsidRDefault="00194123" w:rsidP="000F5302">
            <w:pPr>
              <w:spacing w:line="480" w:lineRule="exact"/>
              <w:ind w:firstLine="560"/>
            </w:pPr>
            <w:bookmarkStart w:id="11" w:name="_Toc110445337"/>
            <w:r w:rsidRPr="00194123">
              <w:rPr>
                <w:rFonts w:hint="eastAsia"/>
                <w:b/>
              </w:rPr>
              <w:t>2.</w:t>
            </w:r>
            <w:bookmarkEnd w:id="11"/>
            <w:r w:rsidRPr="00194123">
              <w:rPr>
                <w:rFonts w:hint="eastAsia"/>
                <w:b/>
              </w:rPr>
              <w:t>故障收集</w:t>
            </w:r>
            <w:r w:rsidRPr="00194123">
              <w:rPr>
                <w:rFonts w:hint="eastAsia"/>
                <w:b/>
              </w:rPr>
              <w:t>。</w:t>
            </w:r>
            <w:r w:rsidRPr="00194123">
              <w:rPr>
                <w:rFonts w:hint="eastAsia"/>
              </w:rPr>
              <w:t>在故障响应时间内检查反映的问题，第一时间接入处理并按时维护，保证平台正常运行，用户正常使用，并且记录问题原因和处理过程。</w:t>
            </w:r>
          </w:p>
          <w:p w:rsidR="00194123" w:rsidRPr="00194123" w:rsidRDefault="00194123" w:rsidP="000F5302">
            <w:pPr>
              <w:spacing w:line="480" w:lineRule="exact"/>
              <w:ind w:firstLine="560"/>
            </w:pPr>
            <w:r w:rsidRPr="00194123">
              <w:rPr>
                <w:rFonts w:hint="eastAsia"/>
              </w:rPr>
              <w:lastRenderedPageBreak/>
              <w:t>对系统平台的运行情况进行分析，及时发现并排除故障，每月提交一份系统维护记录，根据系统经常出现的情况或者有可能出现的情况及时提出日常维护和日常使用建议。</w:t>
            </w:r>
          </w:p>
          <w:p w:rsidR="00194123" w:rsidRPr="00194123" w:rsidRDefault="00194123" w:rsidP="000F5302">
            <w:pPr>
              <w:spacing w:line="480" w:lineRule="exact"/>
              <w:ind w:firstLine="560"/>
            </w:pPr>
            <w:r w:rsidRPr="00194123">
              <w:rPr>
                <w:rFonts w:hint="eastAsia"/>
                <w:b/>
              </w:rPr>
              <w:t>3.</w:t>
            </w:r>
            <w:r w:rsidRPr="00194123">
              <w:rPr>
                <w:rFonts w:hint="eastAsia"/>
                <w:b/>
              </w:rPr>
              <w:t>故障处理</w:t>
            </w:r>
            <w:r w:rsidRPr="00194123">
              <w:rPr>
                <w:rFonts w:hint="eastAsia"/>
                <w:b/>
              </w:rPr>
              <w:t>。</w:t>
            </w:r>
            <w:r w:rsidRPr="00194123">
              <w:rPr>
                <w:rFonts w:hint="eastAsia"/>
              </w:rPr>
              <w:t>（</w:t>
            </w:r>
            <w:r w:rsidRPr="00194123">
              <w:rPr>
                <w:rFonts w:hint="eastAsia"/>
              </w:rPr>
              <w:t>1</w:t>
            </w:r>
            <w:r w:rsidRPr="00194123">
              <w:rPr>
                <w:rFonts w:hint="eastAsia"/>
              </w:rPr>
              <w:t>）系统运行、升级期间出现故障现场进行处理、解决；（</w:t>
            </w:r>
            <w:r w:rsidRPr="00194123">
              <w:rPr>
                <w:rFonts w:hint="eastAsia"/>
              </w:rPr>
              <w:t>2</w:t>
            </w:r>
            <w:r w:rsidRPr="00194123">
              <w:rPr>
                <w:rFonts w:hint="eastAsia"/>
              </w:rPr>
              <w:t>）在系统出现非停机性质的故障如系统运行缓慢时，视同系统故障；（</w:t>
            </w:r>
            <w:r w:rsidRPr="00194123">
              <w:rPr>
                <w:rFonts w:hint="eastAsia"/>
              </w:rPr>
              <w:t>3</w:t>
            </w:r>
            <w:r w:rsidRPr="00194123">
              <w:rPr>
                <w:rFonts w:hint="eastAsia"/>
              </w:rPr>
              <w:t>）在系统故障原因不明时，由现场进行故障诊断；（</w:t>
            </w:r>
            <w:r w:rsidRPr="00194123">
              <w:rPr>
                <w:rFonts w:hint="eastAsia"/>
              </w:rPr>
              <w:t>4</w:t>
            </w:r>
            <w:r w:rsidRPr="00194123">
              <w:rPr>
                <w:rFonts w:hint="eastAsia"/>
              </w:rPr>
              <w:t>）对系统故障提出故障处理建议，经用户方同意后，进行排除、系统调优、重置等</w:t>
            </w:r>
            <w:r>
              <w:rPr>
                <w:rFonts w:hint="eastAsia"/>
              </w:rPr>
              <w:t>。</w:t>
            </w:r>
          </w:p>
          <w:p w:rsidR="00194123" w:rsidRPr="00194123" w:rsidRDefault="00194123" w:rsidP="000F5302">
            <w:pPr>
              <w:spacing w:line="480" w:lineRule="exact"/>
              <w:ind w:firstLine="560"/>
            </w:pPr>
            <w:bookmarkStart w:id="12" w:name="_Toc110445338"/>
            <w:r w:rsidRPr="00194123">
              <w:rPr>
                <w:rFonts w:hint="eastAsia"/>
                <w:b/>
              </w:rPr>
              <w:t>4.</w:t>
            </w:r>
            <w:bookmarkStart w:id="13" w:name="_Toc68037790"/>
            <w:bookmarkEnd w:id="12"/>
            <w:r w:rsidRPr="00194123">
              <w:rPr>
                <w:rFonts w:hint="eastAsia"/>
                <w:b/>
              </w:rPr>
              <w:t>现场咨询服务</w:t>
            </w:r>
            <w:bookmarkEnd w:id="13"/>
            <w:r w:rsidRPr="00194123">
              <w:rPr>
                <w:rFonts w:hint="eastAsia"/>
                <w:b/>
              </w:rPr>
              <w:t>。</w:t>
            </w:r>
            <w:r w:rsidRPr="00194123">
              <w:rPr>
                <w:rFonts w:hint="eastAsia"/>
              </w:rPr>
              <w:t>提供长期免费的咨询服务，咨询的内容包括系统使用，标准规范咨询，开发技术咨询等。对用户在系统使用过程中遇到的操作性、业务性、维护性等各类问题，技术人员应进行解答并帮助其解决问题，同时记录问题内容，根据问题提出的频率整理出技术支持问题列表和相应的文档资料，定期进行发布，帮助用户更好的理解和使用系统。主要工作内容和职责包括：（</w:t>
            </w:r>
            <w:r w:rsidRPr="00194123">
              <w:rPr>
                <w:rFonts w:hint="eastAsia"/>
              </w:rPr>
              <w:t>1</w:t>
            </w:r>
            <w:r w:rsidRPr="00194123">
              <w:rPr>
                <w:rFonts w:hint="eastAsia"/>
              </w:rPr>
              <w:t>）对软件使用过程中出现的各类问题进行解答。（</w:t>
            </w:r>
            <w:r w:rsidRPr="00194123">
              <w:rPr>
                <w:rFonts w:hint="eastAsia"/>
              </w:rPr>
              <w:t>2</w:t>
            </w:r>
            <w:r w:rsidRPr="00194123">
              <w:rPr>
                <w:rFonts w:hint="eastAsia"/>
              </w:rPr>
              <w:t>）处理建议以前台操作为主，能够通过前台操作完成的，不能在后台调整。（</w:t>
            </w:r>
            <w:r w:rsidRPr="00194123">
              <w:rPr>
                <w:rFonts w:hint="eastAsia"/>
              </w:rPr>
              <w:t>3</w:t>
            </w:r>
            <w:r w:rsidRPr="00194123">
              <w:rPr>
                <w:rFonts w:hint="eastAsia"/>
              </w:rPr>
              <w:t>）系统使用中出现的常见问题，及时通过文档等形式予以发布。</w:t>
            </w:r>
          </w:p>
          <w:p w:rsidR="00194123" w:rsidRPr="00194123" w:rsidRDefault="00194123" w:rsidP="000F5302">
            <w:pPr>
              <w:spacing w:line="480" w:lineRule="exact"/>
              <w:ind w:firstLine="560"/>
            </w:pPr>
            <w:r w:rsidRPr="00194123">
              <w:rPr>
                <w:rFonts w:hint="eastAsia"/>
                <w:b/>
              </w:rPr>
              <w:t>5.</w:t>
            </w:r>
            <w:r w:rsidRPr="00194123">
              <w:rPr>
                <w:rFonts w:hint="eastAsia"/>
                <w:b/>
              </w:rPr>
              <w:t>需求整理</w:t>
            </w:r>
            <w:r w:rsidRPr="00194123">
              <w:rPr>
                <w:rFonts w:hint="eastAsia"/>
                <w:b/>
              </w:rPr>
              <w:t>。</w:t>
            </w:r>
            <w:r w:rsidRPr="00194123">
              <w:rPr>
                <w:rFonts w:hint="eastAsia"/>
              </w:rPr>
              <w:t>根据业主方提出软件需求，与业主方项目负责人一起进行评估，分析系统需求变更方案，制定计划。</w:t>
            </w:r>
          </w:p>
          <w:p w:rsidR="00194123" w:rsidRPr="00EC37D2" w:rsidRDefault="00194123" w:rsidP="00194123">
            <w:pPr>
              <w:spacing w:line="480" w:lineRule="exact"/>
              <w:ind w:firstLine="560"/>
              <w:rPr>
                <w:rFonts w:hint="eastAsia"/>
              </w:rPr>
            </w:pPr>
            <w:r w:rsidRPr="00194123">
              <w:rPr>
                <w:rFonts w:hint="eastAsia"/>
                <w:b/>
              </w:rPr>
              <w:t>6.</w:t>
            </w:r>
            <w:r w:rsidRPr="00194123">
              <w:rPr>
                <w:rFonts w:hint="eastAsia"/>
                <w:b/>
              </w:rPr>
              <w:t>重要时期值守</w:t>
            </w:r>
            <w:r w:rsidRPr="00194123">
              <w:rPr>
                <w:rFonts w:hint="eastAsia"/>
                <w:b/>
              </w:rPr>
              <w:t>。</w:t>
            </w:r>
            <w:r w:rsidRPr="00194123">
              <w:rPr>
                <w:rFonts w:hint="eastAsia"/>
              </w:rPr>
              <w:t>重要时期或应甲方要求，提供</w:t>
            </w:r>
            <w:r w:rsidRPr="00194123">
              <w:rPr>
                <w:rFonts w:hint="eastAsia"/>
              </w:rPr>
              <w:t>24</w:t>
            </w:r>
            <w:r w:rsidRPr="00194123">
              <w:rPr>
                <w:rFonts w:hint="eastAsia"/>
              </w:rPr>
              <w:t>小时现场值守保障，保证系统的正常运行。</w:t>
            </w:r>
          </w:p>
        </w:tc>
        <w:tc>
          <w:tcPr>
            <w:tcW w:w="1043" w:type="dxa"/>
            <w:vAlign w:val="center"/>
          </w:tcPr>
          <w:p w:rsidR="00194123" w:rsidRDefault="00194123" w:rsidP="000F5302">
            <w:pPr>
              <w:jc w:val="center"/>
            </w:pPr>
          </w:p>
        </w:tc>
      </w:tr>
      <w:tr w:rsidR="009A3EF1" w:rsidTr="00065BD2">
        <w:tc>
          <w:tcPr>
            <w:tcW w:w="7479" w:type="dxa"/>
            <w:gridSpan w:val="3"/>
            <w:vAlign w:val="center"/>
          </w:tcPr>
          <w:p w:rsidR="009A3EF1" w:rsidRPr="009A3EF1" w:rsidRDefault="009A3EF1" w:rsidP="00194123">
            <w:pPr>
              <w:spacing w:line="480" w:lineRule="exact"/>
              <w:jc w:val="right"/>
              <w:rPr>
                <w:rFonts w:hint="eastAsia"/>
                <w:b/>
              </w:rPr>
            </w:pPr>
            <w:r w:rsidRPr="009A3EF1">
              <w:rPr>
                <w:rFonts w:hint="eastAsia"/>
                <w:b/>
              </w:rPr>
              <w:lastRenderedPageBreak/>
              <w:t>合计：</w:t>
            </w:r>
          </w:p>
        </w:tc>
        <w:tc>
          <w:tcPr>
            <w:tcW w:w="1043" w:type="dxa"/>
            <w:vAlign w:val="center"/>
          </w:tcPr>
          <w:p w:rsidR="009A3EF1" w:rsidRDefault="009A3EF1" w:rsidP="00194123">
            <w:pPr>
              <w:jc w:val="center"/>
            </w:pPr>
          </w:p>
        </w:tc>
      </w:tr>
      <w:tr w:rsidR="009A3EF1" w:rsidTr="00065BD2">
        <w:tc>
          <w:tcPr>
            <w:tcW w:w="7479" w:type="dxa"/>
            <w:gridSpan w:val="3"/>
            <w:vAlign w:val="center"/>
          </w:tcPr>
          <w:p w:rsidR="009A3EF1" w:rsidRPr="009A3EF1" w:rsidRDefault="009A3EF1" w:rsidP="00194123">
            <w:pPr>
              <w:spacing w:line="480" w:lineRule="exact"/>
              <w:jc w:val="right"/>
              <w:rPr>
                <w:rFonts w:hint="eastAsia"/>
                <w:b/>
              </w:rPr>
            </w:pPr>
            <w:r>
              <w:rPr>
                <w:rFonts w:hint="eastAsia"/>
                <w:b/>
              </w:rPr>
              <w:t>总计：</w:t>
            </w:r>
          </w:p>
        </w:tc>
        <w:tc>
          <w:tcPr>
            <w:tcW w:w="1043" w:type="dxa"/>
            <w:vAlign w:val="center"/>
          </w:tcPr>
          <w:p w:rsidR="009A3EF1" w:rsidRDefault="009A3EF1" w:rsidP="00194123">
            <w:pPr>
              <w:jc w:val="center"/>
            </w:pPr>
          </w:p>
        </w:tc>
      </w:tr>
    </w:tbl>
    <w:p w:rsidR="002805B5" w:rsidRDefault="002805B5" w:rsidP="002805B5">
      <w:pPr>
        <w:rPr>
          <w:rFonts w:hint="eastAsia"/>
        </w:rPr>
      </w:pPr>
      <w:r>
        <w:rPr>
          <w:rFonts w:hint="eastAsia"/>
        </w:rPr>
        <w:t>公司名称（盖公章）：</w:t>
      </w:r>
    </w:p>
    <w:p w:rsidR="002805B5" w:rsidRDefault="002805B5" w:rsidP="002805B5">
      <w:pPr>
        <w:rPr>
          <w:rFonts w:hint="eastAsia"/>
        </w:rPr>
      </w:pPr>
      <w:r w:rsidRPr="009A3EF1">
        <w:rPr>
          <w:rFonts w:hint="eastAsia"/>
        </w:rPr>
        <w:t>联系人：</w:t>
      </w:r>
      <w:r w:rsidRPr="009A3EF1">
        <w:rPr>
          <w:rFonts w:hint="eastAsia"/>
        </w:rPr>
        <w:t xml:space="preserve">                   </w:t>
      </w:r>
      <w:r>
        <w:rPr>
          <w:rFonts w:hint="eastAsia"/>
        </w:rPr>
        <w:t xml:space="preserve">                  </w:t>
      </w:r>
      <w:r w:rsidRPr="009A3EF1">
        <w:rPr>
          <w:rFonts w:hint="eastAsia"/>
        </w:rPr>
        <w:t>联系方式：</w:t>
      </w:r>
    </w:p>
    <w:p w:rsidR="00194123" w:rsidRDefault="00194123"/>
    <w:sectPr w:rsidR="00194123" w:rsidSect="00AD51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4123"/>
    <w:rsid w:val="00194123"/>
    <w:rsid w:val="002805B5"/>
    <w:rsid w:val="00886293"/>
    <w:rsid w:val="009A3EF1"/>
    <w:rsid w:val="00AD51CA"/>
    <w:rsid w:val="00B2040E"/>
    <w:rsid w:val="00F52267"/>
    <w:rsid w:val="00F769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C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2022-11-30T07:13:00Z</dcterms:created>
  <dcterms:modified xsi:type="dcterms:W3CDTF">2022-11-30T07:48:00Z</dcterms:modified>
</cp:coreProperties>
</file>