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49" w:rsidRPr="001A50A4" w:rsidRDefault="00051D49" w:rsidP="00051D49">
      <w:pPr>
        <w:widowControl/>
        <w:spacing w:line="580" w:lineRule="exact"/>
        <w:jc w:val="center"/>
        <w:rPr>
          <w:rFonts w:asciiTheme="majorEastAsia" w:eastAsiaTheme="majorEastAsia" w:hAnsiTheme="majorEastAsia" w:cs="仿宋_GB2312" w:hint="eastAsia"/>
          <w:b/>
          <w:color w:val="333333"/>
          <w:kern w:val="0"/>
          <w:sz w:val="44"/>
          <w:szCs w:val="44"/>
        </w:rPr>
      </w:pPr>
      <w:r w:rsidRPr="001A50A4">
        <w:rPr>
          <w:rFonts w:asciiTheme="majorEastAsia" w:eastAsiaTheme="majorEastAsia" w:hAnsiTheme="majorEastAsia" w:cs="仿宋_GB2312" w:hint="eastAsia"/>
          <w:b/>
          <w:color w:val="333333"/>
          <w:kern w:val="0"/>
          <w:sz w:val="44"/>
          <w:szCs w:val="44"/>
        </w:rPr>
        <w:t>装备技术参数表</w:t>
      </w:r>
    </w:p>
    <w:p w:rsidR="00051D49" w:rsidRDefault="00051D49" w:rsidP="00051D49">
      <w:pPr>
        <w:widowControl/>
        <w:spacing w:line="580" w:lineRule="exact"/>
        <w:jc w:val="center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</w:pPr>
    </w:p>
    <w:tbl>
      <w:tblPr>
        <w:tblStyle w:val="a3"/>
        <w:tblW w:w="12350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65"/>
        <w:gridCol w:w="3088"/>
        <w:gridCol w:w="4778"/>
        <w:gridCol w:w="890"/>
        <w:gridCol w:w="1464"/>
      </w:tblGrid>
      <w:tr w:rsidR="00051D49" w:rsidTr="006D4E1B">
        <w:trPr>
          <w:jc w:val="center"/>
        </w:trPr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装备类别</w:t>
            </w: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装备项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主要用途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技术要求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单价</w:t>
            </w:r>
          </w:p>
        </w:tc>
      </w:tr>
      <w:tr w:rsidR="00051D49" w:rsidTr="006D4E1B">
        <w:trPr>
          <w:jc w:val="center"/>
        </w:trPr>
        <w:tc>
          <w:tcPr>
            <w:tcW w:w="12350" w:type="dxa"/>
            <w:gridSpan w:val="6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（一）通用装备</w:t>
            </w:r>
          </w:p>
        </w:tc>
      </w:tr>
      <w:tr w:rsidR="00051D49" w:rsidTr="006D4E1B">
        <w:trPr>
          <w:jc w:val="center"/>
        </w:trPr>
        <w:tc>
          <w:tcPr>
            <w:tcW w:w="1065" w:type="dxa"/>
            <w:vMerge w:val="restart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个体防护</w:t>
            </w: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安全帽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用于企业生产现场安全执法一般性防护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1.符合《头部防护 安全帽》GB 2811;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2.具有特种劳动防护用品安全标志；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3.印应急管理综合行政执法统一标志。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顶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多功能防护服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用于企业生产现场安全执法一般性防护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1.根据执法环境特点选择多功能的适用防护服装，要求防雨符合《服装 防雨性能要求》GB/T23330、防寒符合《劳动防护服 防寒保暖要求》GB/T13459、防静电符合《防静电服》GB12014、阻燃符合《防护服装 阻燃服》GB8965.1;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2.具有特种劳动防护用品安全标志；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3.分为季节性套装，印反光安全标识；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4.印应急管理综合行政执法统一标志。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防护鞋（靴）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用于企业生产现场安全执法一般性防护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1.根据执法环境特点选择适用的防护鞋，要求防护性符合《足部防护 安全鞋》GB21148,防滑符合《鞋类 整鞋试验方法 防滑性能》GB/T3903.6;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2.具有特种劳动防护用品安全标志。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双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隔噪耳罩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用于噪声场所执法现场安全防护和语音通信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1.具有拾音降噪功能的头戴式隔噪耳罩，环境噪音降低到82db以下；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2.电池连续工作时间≥280h；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3.120db 环境噪音下麦克风降噪通话可连接手机、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对讲机；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4.在矿山、危险化学品等涉爆场所使用时，应具备相应的防爆等级和安全标志。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副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防护眼镜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用于辐射、碎屑或溶液飞溅场所执法现场安全防护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1.根据执法环境特点选择适用的防护眼镜，要求眼面防护符合《个体防护装备眼面部防护 职业眼面部防护具 第1部分：要求》GB32166.1,配装符合《配装眼镜第1部分：单光和多焦点》GB13511.1;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2.具有特种劳动防护用品安全标志。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副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动力送风式防尘半面罩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用于粉尘场所执法现场个体防护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1.具有呼吸追随功能，响应时间≤1s，粉尘过滤效率符合《呼吸防护 动力送风过滤式呼吸器》GB30864,滤芯数量满足1年使用需求；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2.电池工作时间≥8h；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3.具有特种劳动防护用品安全标志。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套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 w:val="restart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执法保障</w:t>
            </w: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便携式执法笔记本电脑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执法现场使用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1.8核以上处理器，1.8G以上主频；16G以上内存；4G/5G移动网络模组，重量≤1.5kg；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2.印应急管理综合行政执法统一标志。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便携式打印一体机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用于现场执法文书处理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1.A4复印、黑白/彩色打印、扫描、支持双面自动打印；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2.支持无线网络打印（电脑、手机等），轻巧便于携带；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3.印应急管理综合行政执法统一标志。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执法装备箱（包）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携带基本执法装备、文书等，便于移动执法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1.根据执法环境特点确定防护功能，具备防水性能，跌落和抗冲击性能等满足《旅行箱包》QB/T2155要求；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2.耐极限温度范围：-20℃-60℃；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3.箱体尺寸符合航空及铁路携带要求；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4.配备安全锁,印反光标识和应急管理综合行政执法统一标志。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套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便携式投影仪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用于现场执法启动会等会议使用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1.投放画面大小：40-200寸；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2.分辨率：优于1920×1080dpi；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3.最佳投放距离3m内，重量≤4kg。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 w:val="restart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执法过程</w:t>
            </w: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执法记录仪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现场执法过程数字化录音、录像取证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1.具备录音、录像功能，电池持续工作时间≥8h；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2.具备大容量存储（64G以上），内置北斗定位功能，能够与移动执法终端、采集工作站、“互联网+执法”系统互联互通；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3.在矿山、危险化学品等涉爆场所使用时，应具备相应的防爆等级和安全标志；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4.印应急管理综合行政执法统一标志。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执法记录采集工作站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执法记录仪终端的充电、存放、数传、管理平台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1.执法记录仪充电、集中存放和维护；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2.数据自动上传和管理；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3.执法任务自动登记。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对讲机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现场执法组成员间通信联络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1.无公网集群通话，距离≥3km；电池工作时间≥12h；防护等级≥IP54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2.在矿山、危险化学品等涉爆场所使用时，应具备相应的防爆等级和安全标志。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移动执法终端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现场执法过程文书处理和辅助分析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1.具有照相、录音、存储、热点、一维码和二维码扫码、语音自动识别录入、电子签名、指纹采集、人脸识别、电子标签读取等功能；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2.存储容量≥256G，电池持续工作时间≥8h；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3.加装“互联网+执法”系统APP，内置北斗定位功能，与执法记录仪、“互联网+执法”系统互联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互通；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4.在矿山、危险化学品等涉爆场所使用时，应具备相应的防爆等级和安全标志；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5.印应急管理综合行政执法统一标志。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红外相机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用于无光、弱光条件下拍摄留存证据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1.红外夜视拍照、录像；测温像素≥130万像素；测温精度：±0.5℃；缓存容量≥128MB，可外接存储卡；无线数据传输；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2.在矿山、危险化学品等涉爆场所使用时，应具备相应的防爆等级和安全标志。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 w:val="restart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测量侦检</w:t>
            </w: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激光测距仪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非接触式测量距离、高差、角度等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1.最大测距2km；激光安全等级Ⅰ类激光；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2.测距精度≤0.5%；防护等级：IPX7；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3.在矿山、危险化学品等涉爆场所使用时，应具备相应的防爆等级和安全标志。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个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多功能气体检测仪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检查氧气、一氧化碳、二氧化碳、等气体浓度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1.根据执法环境需要选择检测气体类别：氧气、二氧化碳、可燃气体、有毒气体等多种组合，精度≤1%；使用环境：-40℃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--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+70℃;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2.防护等级IP66，重量≥3kg；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3.在易燃易爆场所使用时，应具备相应的防爆等级和安全标志。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个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执法无人机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用于现场大范围巡查或人行困难区域的检查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1.续航时间≥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0min；最大起飞重量≤9kg，最大载重≥3kg；5级风力及以下使用，具备环境感知、定位和避障能力，含3年坠机保险；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2.图像实时回传，内置北斗定位能功；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3.选配荷载：五目相机、红外热像和气体传感器等。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架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望远镜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用于安全检查远距离观察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1.放大倍率≥8倍，黄昏系数≥13;实际视场≥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50°,1km视野≥100m；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2.充氮防雾，重量≤0.6kg。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架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气体泄漏红外成像仪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远距离检测气体，通过红外成像查找泄漏点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1.手持式成像，有效距离≥80m；视场角度10°以上；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2.电池工作时间≥3h；取得相应防爆等级认证。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2350" w:type="dxa"/>
            <w:gridSpan w:val="6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（二）专用装备</w:t>
            </w:r>
          </w:p>
        </w:tc>
      </w:tr>
      <w:tr w:rsidR="00051D49" w:rsidTr="006D4E1B">
        <w:trPr>
          <w:jc w:val="center"/>
        </w:trPr>
        <w:tc>
          <w:tcPr>
            <w:tcW w:w="1065" w:type="dxa"/>
            <w:vMerge w:val="restart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矿山监管</w:t>
            </w: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矿用多参数气体检测仪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矿山井下气体浓度检测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1.可测甲烷、一氧化碳、氧气、二氧化碳等气体浓度，液晶屏幕数字显示；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2.气体测量范围满足矿山井下气体检测要求；连续工作时间≥8h；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3.取得煤矿安全标志认证。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多功能数字罗盘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测量井下方位，记录井下路径，检查井巷与设计的符合性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1.三维电子罗盘陀螺仪；精度：水平0.3°,倾角0.1°;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2.冲击极限：2000g；陀螺仪0.4°/hr；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3.取得煤矿安全标志认证。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个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本质安全型长杆式无线探测终端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适合深入孔隙、缝隙中摄录取证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1.可探测孔径≥55mm，最大探测深度2.5m，产品长度可拼接延长；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2.灯光标准照度≥200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l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x；拍照像素≥1600万；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3.无线图传分辨率≥720p；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4.取得煤矿安全标志认证。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矿用通风多参数检测仪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用于测定地下矿山井筒、巷道等通风风速，以及测量温度和湿度等</w:t>
            </w:r>
          </w:p>
        </w:tc>
        <w:tc>
          <w:tcPr>
            <w:tcW w:w="4778" w:type="dxa"/>
          </w:tcPr>
          <w:p w:rsidR="00051D49" w:rsidRDefault="00051D49" w:rsidP="006D4E1B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1.风速范围：0.1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--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/s；温度范围：0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--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+45℃；湿度测量：0%--100%；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2.大气压力：700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--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1200hpa；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3.数据存储时间≥8h；防护等级：IP65;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4.取得煤矿安全标志认证。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个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空区激光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扫描仪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对矿井地下硐室、采空区等检测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1.激光安全等级不低于Ⅱ级；最大测距：200m；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2.测距精度：5cm；软件功能：三维建模、测量。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直读式粉尘检测仪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测定矿井粉尘含量</w:t>
            </w:r>
          </w:p>
        </w:tc>
        <w:tc>
          <w:tcPr>
            <w:tcW w:w="4778" w:type="dxa"/>
          </w:tcPr>
          <w:p w:rsidR="00051D49" w:rsidRDefault="00051D49" w:rsidP="006D4E1B">
            <w:pPr>
              <w:widowControl/>
              <w:jc w:val="center"/>
              <w:rPr>
                <w:rFonts w:ascii="仿宋_GB2312" w:eastAsia="仿宋_GB2312" w:hAnsi="仿宋_GB2312" w:cs="仿宋_GB2312"/>
                <w:color w:val="22222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1.测量范围：0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--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10mg/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m³；采样时间：1min；</w:t>
            </w:r>
          </w:p>
          <w:p w:rsidR="00051D49" w:rsidRDefault="00051D49" w:rsidP="006D4E1B">
            <w:pPr>
              <w:widowControl/>
              <w:jc w:val="center"/>
              <w:rPr>
                <w:rFonts w:ascii="仿宋_GB2312" w:eastAsia="仿宋_GB2312" w:hAnsi="仿宋_GB2312" w:cs="仿宋_GB2312"/>
                <w:color w:val="22222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2.使用温度：0--40℃；湿度：20%--70%；</w:t>
            </w:r>
          </w:p>
          <w:p w:rsidR="00051D49" w:rsidRDefault="00051D49" w:rsidP="006D4E1B">
            <w:pPr>
              <w:widowControl/>
              <w:jc w:val="center"/>
              <w:rPr>
                <w:rFonts w:ascii="仿宋_GB2312" w:eastAsia="仿宋_GB2312" w:hAnsi="仿宋_GB2312" w:cs="仿宋_GB2312"/>
                <w:color w:val="22222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3.计量性能符合《粉尘浓度测量仪检定规程》JJG846要求；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4.取得煤矿安全标志认证。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  <w:vMerge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矿用本质安全型红外测温仪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非接触测量矿井环境、设备等温度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color w:val="22222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1.测量范围：20℃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--300℃；工作温度：-10℃-50℃;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color w:val="22222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2.测量误差≤0.5℃；距离系数≥50：1；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color w:val="22222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3.取得煤矿安全标志认证。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危险化学品</w:t>
            </w: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手持式危险液体安全检测仪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易燃易爆危险性液体检测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1.可探测种类：汽油、柴油、环氧丙烷、硝基甲烷、二氯乙烷、甲苯、苯、硝基苯丙酮、甲醇、乙醇、乙二醇、乙醚、异丙醚、二硫化碳、松香水、油漆稀料（硝基稀料溶剂）、煤油等危险液体40种以上；</w:t>
            </w:r>
          </w:p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2.取得相应防爆等级认证。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51D49" w:rsidTr="006D4E1B">
        <w:trPr>
          <w:jc w:val="center"/>
        </w:trPr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工贸监管</w:t>
            </w:r>
          </w:p>
        </w:tc>
        <w:tc>
          <w:tcPr>
            <w:tcW w:w="1065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红外测温仪</w:t>
            </w:r>
          </w:p>
        </w:tc>
        <w:tc>
          <w:tcPr>
            <w:tcW w:w="308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用于测量高温设施表面温度是否符合设计及规范要求</w:t>
            </w:r>
          </w:p>
        </w:tc>
        <w:tc>
          <w:tcPr>
            <w:tcW w:w="4778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color w:val="22222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1.温度范围 :40℃</w:t>
            </w:r>
            <w:r>
              <w:rPr>
                <w:rFonts w:ascii="仿宋_GB2312" w:eastAsia="仿宋_GB2312" w:hAnsi="仿宋_GB2312" w:cs="仿宋_GB2312" w:hint="eastAsia"/>
                <w:color w:val="222222"/>
                <w:sz w:val="21"/>
                <w:szCs w:val="21"/>
                <w:shd w:val="clear" w:color="auto" w:fill="FFFFFF"/>
              </w:rPr>
              <w:t>--3000℃分段；</w:t>
            </w:r>
          </w:p>
          <w:p w:rsidR="00051D49" w:rsidRDefault="00051D49" w:rsidP="006D4E1B">
            <w:pPr>
              <w:pStyle w:val="3"/>
              <w:widowControl/>
              <w:shd w:val="clear" w:color="auto" w:fill="FFFFFF"/>
              <w:spacing w:before="0" w:beforeAutospacing="0" w:after="60" w:afterAutospacing="0" w:line="330" w:lineRule="atLeast"/>
              <w:jc w:val="center"/>
              <w:outlineLvl w:val="2"/>
              <w:rPr>
                <w:rFonts w:ascii="仿宋_GB2312" w:eastAsia="仿宋_GB2312" w:hAnsi="仿宋_GB2312" w:cs="仿宋_GB2312" w:hint="default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b w:val="0"/>
                <w:color w:val="222222"/>
                <w:sz w:val="21"/>
                <w:szCs w:val="21"/>
                <w:shd w:val="clear" w:color="auto" w:fill="FFFFFF"/>
              </w:rPr>
              <w:t>2.测量精度：</w:t>
            </w:r>
            <w:hyperlink r:id="rId4" w:history="1">
              <w:r>
                <w:rPr>
                  <w:rFonts w:ascii="仿宋_GB2312" w:eastAsia="仿宋_GB2312" w:hAnsi="仿宋_GB2312" w:cs="仿宋_GB2312"/>
                  <w:b w:val="0"/>
                  <w:sz w:val="21"/>
                  <w:szCs w:val="21"/>
                  <w:shd w:val="clear" w:color="auto" w:fill="FFFFFF"/>
                </w:rPr>
                <w:t>±</w:t>
              </w:r>
            </w:hyperlink>
            <w:r>
              <w:rPr>
                <w:rFonts w:ascii="仿宋_GB2312" w:eastAsia="仿宋_GB2312" w:hAnsi="仿宋_GB2312" w:cs="仿宋_GB2312"/>
                <w:b w:val="0"/>
                <w:color w:val="222222"/>
                <w:sz w:val="21"/>
                <w:szCs w:val="21"/>
                <w:shd w:val="clear" w:color="auto" w:fill="FFFFFF"/>
              </w:rPr>
              <w:t>0.5%FS；响应时间≤5ms。</w:t>
            </w:r>
          </w:p>
        </w:tc>
        <w:tc>
          <w:tcPr>
            <w:tcW w:w="890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台</w:t>
            </w:r>
          </w:p>
        </w:tc>
        <w:tc>
          <w:tcPr>
            <w:tcW w:w="1464" w:type="dxa"/>
          </w:tcPr>
          <w:p w:rsidR="00051D49" w:rsidRDefault="00051D49" w:rsidP="006D4E1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051D49" w:rsidRDefault="00051D49" w:rsidP="00051D49">
      <w:pPr>
        <w:widowControl/>
        <w:wordWrap w:val="0"/>
        <w:spacing w:line="580" w:lineRule="exact"/>
        <w:ind w:firstLine="560"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AD51CA" w:rsidRDefault="00AD51CA"/>
    <w:sectPr w:rsidR="00AD51CA" w:rsidSect="00FF64F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D49"/>
    <w:rsid w:val="00051D49"/>
    <w:rsid w:val="00AD51CA"/>
    <w:rsid w:val="00FA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49"/>
    <w:pPr>
      <w:widowControl w:val="0"/>
      <w:spacing w:after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next w:val="a"/>
    <w:link w:val="3Char"/>
    <w:unhideWhenUsed/>
    <w:qFormat/>
    <w:rsid w:val="00051D49"/>
    <w:pPr>
      <w:widowControl w:val="0"/>
      <w:spacing w:before="100" w:beforeAutospacing="1" w:after="100" w:afterAutospacing="1"/>
      <w:outlineLvl w:val="2"/>
    </w:pPr>
    <w:rPr>
      <w:rFonts w:ascii="宋体" w:eastAsia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51D49"/>
    <w:rPr>
      <w:rFonts w:ascii="宋体" w:eastAsia="宋体" w:hAnsi="宋体" w:cs="宋体"/>
      <w:b/>
      <w:kern w:val="0"/>
      <w:sz w:val="27"/>
      <w:szCs w:val="27"/>
    </w:rPr>
  </w:style>
  <w:style w:type="table" w:styleId="a3">
    <w:name w:val="Table Grid"/>
    <w:basedOn w:val="a1"/>
    <w:rsid w:val="00051D49"/>
    <w:pPr>
      <w:spacing w:after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PiH4VYOCwm1nlpmsmk-ApUXNJ0JidO_v7Eg7iV-T3JRQPMTpu4SsKFrOcIbVbR3-I_Oedahxz3gG9kSZvUeD8Jzm0qxUQhBuKxJIANOOLr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2022-05-20T08:38:00Z</dcterms:created>
  <dcterms:modified xsi:type="dcterms:W3CDTF">2022-05-20T08:38:00Z</dcterms:modified>
</cp:coreProperties>
</file>