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39E" w:rsidRPr="00FC339E" w:rsidRDefault="00FC339E" w:rsidP="00FC339E">
      <w:pPr>
        <w:spacing w:line="500" w:lineRule="exact"/>
        <w:ind w:firstLineChars="200" w:firstLine="723"/>
        <w:jc w:val="center"/>
        <w:rPr>
          <w:rFonts w:asciiTheme="minorEastAsia" w:hAnsiTheme="minorEastAsia" w:hint="eastAsia"/>
          <w:b/>
          <w:sz w:val="36"/>
          <w:szCs w:val="36"/>
        </w:rPr>
      </w:pPr>
      <w:r w:rsidRPr="00FC339E">
        <w:rPr>
          <w:rFonts w:asciiTheme="minorEastAsia" w:hAnsiTheme="minorEastAsia" w:hint="eastAsia"/>
          <w:b/>
          <w:sz w:val="36"/>
          <w:szCs w:val="36"/>
        </w:rPr>
        <w:t>招标要求应答表</w:t>
      </w:r>
    </w:p>
    <w:p w:rsidR="004437DA" w:rsidRDefault="004437DA" w:rsidP="00FC339E">
      <w:pPr>
        <w:spacing w:line="500" w:lineRule="exact"/>
        <w:ind w:firstLineChars="200" w:firstLine="480"/>
        <w:rPr>
          <w:rFonts w:ascii="宋体" w:eastAsia="宋体" w:hAnsi="宋体" w:cs="宋体"/>
          <w:sz w:val="24"/>
        </w:rPr>
      </w:pPr>
      <w:r>
        <w:rPr>
          <w:rFonts w:ascii="宋体" w:eastAsia="宋体" w:hAnsi="宋体" w:cs="宋体" w:hint="eastAsia"/>
          <w:sz w:val="24"/>
        </w:rPr>
        <w:t>根据网络安全法相关规定及国家非涉密信息系统安全等级保护工作要求，为进一步完善我厅信息系统安全等级保护工作，提升我厅重要信息系统的安全防护能力，按照《信息安全等级保护管理办法》、《GB∕T 22239-2019 信息安全技术网络安全等级保护基本要求》《GB∕T 28448-2019 信息安全技术网络安全等级保护测评要求》等法规和标准的要求，对</w:t>
      </w:r>
      <w:r w:rsidRPr="006D630E">
        <w:rPr>
          <w:rFonts w:asciiTheme="minorEastAsia" w:hAnsiTheme="minorEastAsia" w:cs="宋体" w:hint="eastAsia"/>
          <w:bCs/>
          <w:color w:val="000000" w:themeColor="text1"/>
          <w:kern w:val="0"/>
          <w:sz w:val="24"/>
        </w:rPr>
        <w:t>福建省应急管理厅门户网站</w:t>
      </w:r>
      <w:r>
        <w:rPr>
          <w:rFonts w:asciiTheme="minorEastAsia" w:hAnsiTheme="minorEastAsia" w:cs="宋体" w:hint="eastAsia"/>
          <w:bCs/>
          <w:color w:val="000000" w:themeColor="text1"/>
          <w:kern w:val="0"/>
          <w:sz w:val="24"/>
        </w:rPr>
        <w:t>系统</w:t>
      </w:r>
      <w:r w:rsidRPr="00C24752">
        <w:rPr>
          <w:rFonts w:asciiTheme="minorEastAsia" w:hAnsiTheme="minorEastAsia" w:cs="宋体" w:hint="eastAsia"/>
          <w:color w:val="000000" w:themeColor="text1"/>
          <w:sz w:val="24"/>
        </w:rPr>
        <w:t>等级测评和备案服务</w:t>
      </w:r>
      <w:r>
        <w:rPr>
          <w:rFonts w:asciiTheme="minorEastAsia" w:hAnsiTheme="minorEastAsia" w:cs="宋体" w:hint="eastAsia"/>
          <w:color w:val="000000" w:themeColor="text1"/>
          <w:sz w:val="24"/>
        </w:rPr>
        <w:t>项目</w:t>
      </w:r>
      <w:r>
        <w:rPr>
          <w:rFonts w:ascii="宋体" w:eastAsia="宋体" w:hAnsi="宋体" w:cs="宋体" w:hint="eastAsia"/>
          <w:sz w:val="24"/>
        </w:rPr>
        <w:t>进行招标。</w:t>
      </w:r>
      <w:r w:rsidR="00FC339E">
        <w:rPr>
          <w:rFonts w:ascii="宋体" w:eastAsia="宋体" w:hAnsi="宋体" w:cs="宋体" w:hint="eastAsia"/>
          <w:sz w:val="24"/>
        </w:rPr>
        <w:t>技术和服务要求如下：</w:t>
      </w:r>
    </w:p>
    <w:tbl>
      <w:tblPr>
        <w:tblStyle w:val="a4"/>
        <w:tblW w:w="8755" w:type="dxa"/>
        <w:tblLook w:val="04A0"/>
      </w:tblPr>
      <w:tblGrid>
        <w:gridCol w:w="817"/>
        <w:gridCol w:w="6804"/>
        <w:gridCol w:w="1134"/>
      </w:tblGrid>
      <w:tr w:rsidR="004437DA" w:rsidRPr="004437DA" w:rsidTr="00097A0A">
        <w:tc>
          <w:tcPr>
            <w:tcW w:w="817" w:type="dxa"/>
            <w:vAlign w:val="center"/>
          </w:tcPr>
          <w:p w:rsidR="004437DA" w:rsidRPr="004437DA" w:rsidRDefault="004437DA" w:rsidP="00097A0A">
            <w:pPr>
              <w:jc w:val="center"/>
              <w:rPr>
                <w:rFonts w:ascii="黑体" w:eastAsia="黑体" w:hAnsi="黑体"/>
                <w:szCs w:val="21"/>
              </w:rPr>
            </w:pPr>
            <w:r w:rsidRPr="004437DA">
              <w:rPr>
                <w:rFonts w:ascii="黑体" w:eastAsia="黑体" w:hAnsi="黑体" w:hint="eastAsia"/>
                <w:szCs w:val="21"/>
              </w:rPr>
              <w:t>编号</w:t>
            </w:r>
          </w:p>
        </w:tc>
        <w:tc>
          <w:tcPr>
            <w:tcW w:w="6804" w:type="dxa"/>
            <w:vAlign w:val="center"/>
          </w:tcPr>
          <w:p w:rsidR="004437DA" w:rsidRPr="004437DA" w:rsidRDefault="004437DA" w:rsidP="00097A0A">
            <w:pPr>
              <w:jc w:val="center"/>
              <w:rPr>
                <w:rFonts w:ascii="黑体" w:eastAsia="黑体" w:hAnsi="黑体"/>
                <w:szCs w:val="21"/>
              </w:rPr>
            </w:pPr>
            <w:r w:rsidRPr="004437DA">
              <w:rPr>
                <w:rFonts w:ascii="黑体" w:eastAsia="黑体" w:hAnsi="黑体" w:hint="eastAsia"/>
                <w:szCs w:val="21"/>
              </w:rPr>
              <w:t>技术和服务要求</w:t>
            </w:r>
          </w:p>
        </w:tc>
        <w:tc>
          <w:tcPr>
            <w:tcW w:w="1134" w:type="dxa"/>
            <w:vAlign w:val="center"/>
          </w:tcPr>
          <w:p w:rsidR="004437DA" w:rsidRPr="004437DA" w:rsidRDefault="004437DA" w:rsidP="00097A0A">
            <w:pPr>
              <w:jc w:val="center"/>
              <w:rPr>
                <w:rFonts w:ascii="黑体" w:eastAsia="黑体" w:hAnsi="黑体"/>
                <w:szCs w:val="21"/>
              </w:rPr>
            </w:pPr>
            <w:r w:rsidRPr="004437DA">
              <w:rPr>
                <w:rFonts w:ascii="黑体" w:eastAsia="黑体" w:hAnsi="黑体" w:hint="eastAsia"/>
                <w:szCs w:val="21"/>
              </w:rPr>
              <w:t>是否偏离</w:t>
            </w:r>
          </w:p>
        </w:tc>
      </w:tr>
      <w:tr w:rsidR="004437DA" w:rsidRPr="004437DA" w:rsidTr="004437DA">
        <w:tc>
          <w:tcPr>
            <w:tcW w:w="817" w:type="dxa"/>
            <w:vAlign w:val="center"/>
          </w:tcPr>
          <w:p w:rsidR="004437DA" w:rsidRPr="004437DA" w:rsidRDefault="004437DA" w:rsidP="004437DA">
            <w:pPr>
              <w:jc w:val="center"/>
              <w:rPr>
                <w:rFonts w:asciiTheme="minorEastAsia" w:hAnsiTheme="minorEastAsia"/>
                <w:szCs w:val="21"/>
              </w:rPr>
            </w:pPr>
            <w:r w:rsidRPr="004437DA">
              <w:rPr>
                <w:rFonts w:asciiTheme="minorEastAsia" w:hAnsiTheme="minorEastAsia" w:hint="eastAsia"/>
                <w:szCs w:val="21"/>
              </w:rPr>
              <w:t>1</w:t>
            </w:r>
          </w:p>
        </w:tc>
        <w:tc>
          <w:tcPr>
            <w:tcW w:w="6804" w:type="dxa"/>
            <w:vAlign w:val="center"/>
          </w:tcPr>
          <w:p w:rsidR="004437DA" w:rsidRPr="004437DA" w:rsidRDefault="004437DA" w:rsidP="004437DA">
            <w:pPr>
              <w:rPr>
                <w:rFonts w:asciiTheme="minorEastAsia" w:hAnsiTheme="minorEastAsia"/>
                <w:szCs w:val="21"/>
              </w:rPr>
            </w:pPr>
            <w:r w:rsidRPr="004437DA">
              <w:rPr>
                <w:rFonts w:asciiTheme="minorEastAsia" w:hAnsiTheme="minorEastAsia" w:hint="eastAsia"/>
                <w:szCs w:val="21"/>
              </w:rPr>
              <w:t>根据等级保护2.0相关标准提供测评及服务。</w:t>
            </w:r>
          </w:p>
        </w:tc>
        <w:tc>
          <w:tcPr>
            <w:tcW w:w="1134" w:type="dxa"/>
            <w:vAlign w:val="center"/>
          </w:tcPr>
          <w:p w:rsidR="004437DA" w:rsidRPr="004437DA" w:rsidRDefault="004437DA" w:rsidP="004437DA">
            <w:pPr>
              <w:rPr>
                <w:rFonts w:asciiTheme="minorEastAsia" w:hAnsiTheme="minorEastAsia"/>
                <w:szCs w:val="21"/>
              </w:rPr>
            </w:pPr>
          </w:p>
        </w:tc>
      </w:tr>
      <w:tr w:rsidR="004437DA" w:rsidRPr="004437DA" w:rsidTr="004437DA">
        <w:tc>
          <w:tcPr>
            <w:tcW w:w="817" w:type="dxa"/>
            <w:vAlign w:val="center"/>
          </w:tcPr>
          <w:p w:rsidR="004437DA" w:rsidRPr="004437DA" w:rsidRDefault="004437DA" w:rsidP="004437DA">
            <w:pPr>
              <w:jc w:val="center"/>
              <w:rPr>
                <w:rFonts w:asciiTheme="minorEastAsia" w:hAnsiTheme="minorEastAsia"/>
                <w:szCs w:val="21"/>
              </w:rPr>
            </w:pPr>
            <w:r w:rsidRPr="004437DA">
              <w:rPr>
                <w:rFonts w:asciiTheme="minorEastAsia" w:hAnsiTheme="minorEastAsia" w:hint="eastAsia"/>
                <w:szCs w:val="21"/>
              </w:rPr>
              <w:t>2</w:t>
            </w:r>
          </w:p>
        </w:tc>
        <w:tc>
          <w:tcPr>
            <w:tcW w:w="6804" w:type="dxa"/>
            <w:vAlign w:val="center"/>
          </w:tcPr>
          <w:p w:rsidR="004437DA" w:rsidRPr="004437DA" w:rsidRDefault="004437DA" w:rsidP="004437DA">
            <w:pPr>
              <w:rPr>
                <w:rFonts w:asciiTheme="minorEastAsia" w:hAnsiTheme="minorEastAsia"/>
                <w:szCs w:val="21"/>
              </w:rPr>
            </w:pPr>
            <w:r w:rsidRPr="004437DA">
              <w:rPr>
                <w:rFonts w:asciiTheme="minorEastAsia" w:hAnsiTheme="minorEastAsia" w:hint="eastAsia"/>
                <w:szCs w:val="21"/>
              </w:rPr>
              <w:t>负责定级备案整个过程工作，不限于如下工作：负责调整定级报告；负责调整备案表；协助调整主管部门意见；负责组织专家评审并出具评审意见（以专家时间为准）；负责网安接收定级备案材料；负责跟进备案编号和备案证明，直至招标人拿到备案证书。</w:t>
            </w:r>
          </w:p>
        </w:tc>
        <w:tc>
          <w:tcPr>
            <w:tcW w:w="1134" w:type="dxa"/>
            <w:vAlign w:val="center"/>
          </w:tcPr>
          <w:p w:rsidR="004437DA" w:rsidRPr="004437DA" w:rsidRDefault="004437DA" w:rsidP="004437DA">
            <w:pPr>
              <w:rPr>
                <w:rFonts w:asciiTheme="minorEastAsia" w:hAnsiTheme="minorEastAsia"/>
                <w:szCs w:val="21"/>
              </w:rPr>
            </w:pPr>
          </w:p>
        </w:tc>
      </w:tr>
      <w:tr w:rsidR="004437DA" w:rsidRPr="004437DA" w:rsidTr="004437DA">
        <w:tc>
          <w:tcPr>
            <w:tcW w:w="817" w:type="dxa"/>
            <w:vAlign w:val="center"/>
          </w:tcPr>
          <w:p w:rsidR="004437DA" w:rsidRPr="004437DA" w:rsidRDefault="004437DA" w:rsidP="004437DA">
            <w:pPr>
              <w:jc w:val="center"/>
              <w:rPr>
                <w:rFonts w:asciiTheme="minorEastAsia" w:hAnsiTheme="minorEastAsia"/>
                <w:szCs w:val="21"/>
              </w:rPr>
            </w:pPr>
            <w:r w:rsidRPr="004437DA">
              <w:rPr>
                <w:rFonts w:asciiTheme="minorEastAsia" w:hAnsiTheme="minorEastAsia" w:hint="eastAsia"/>
                <w:szCs w:val="21"/>
              </w:rPr>
              <w:t>3</w:t>
            </w:r>
          </w:p>
        </w:tc>
        <w:tc>
          <w:tcPr>
            <w:tcW w:w="6804" w:type="dxa"/>
            <w:vAlign w:val="center"/>
          </w:tcPr>
          <w:p w:rsidR="004437DA" w:rsidRPr="004437DA" w:rsidRDefault="004437DA" w:rsidP="004437DA">
            <w:pPr>
              <w:rPr>
                <w:rFonts w:asciiTheme="minorEastAsia" w:hAnsiTheme="minorEastAsia"/>
                <w:szCs w:val="21"/>
              </w:rPr>
            </w:pPr>
            <w:r w:rsidRPr="004437DA">
              <w:rPr>
                <w:rFonts w:asciiTheme="minorEastAsia" w:hAnsiTheme="minorEastAsia" w:hint="eastAsia"/>
                <w:szCs w:val="21"/>
              </w:rPr>
              <w:t>协助补充安全管理制度、安全管理机构、人员安全管理、系统建设管理和系统运维管理等五个方面的相关管理制度。</w:t>
            </w:r>
          </w:p>
        </w:tc>
        <w:tc>
          <w:tcPr>
            <w:tcW w:w="1134" w:type="dxa"/>
            <w:vAlign w:val="center"/>
          </w:tcPr>
          <w:p w:rsidR="004437DA" w:rsidRPr="004437DA" w:rsidRDefault="004437DA" w:rsidP="004437DA">
            <w:pPr>
              <w:rPr>
                <w:rFonts w:asciiTheme="minorEastAsia" w:hAnsiTheme="minorEastAsia"/>
                <w:szCs w:val="21"/>
              </w:rPr>
            </w:pPr>
          </w:p>
        </w:tc>
      </w:tr>
      <w:tr w:rsidR="004437DA" w:rsidRPr="004437DA" w:rsidTr="004437DA">
        <w:tc>
          <w:tcPr>
            <w:tcW w:w="817" w:type="dxa"/>
            <w:vAlign w:val="center"/>
          </w:tcPr>
          <w:p w:rsidR="004437DA" w:rsidRPr="004437DA" w:rsidRDefault="004437DA" w:rsidP="004437DA">
            <w:pPr>
              <w:jc w:val="center"/>
              <w:rPr>
                <w:rFonts w:asciiTheme="minorEastAsia" w:hAnsiTheme="minorEastAsia"/>
                <w:szCs w:val="21"/>
              </w:rPr>
            </w:pPr>
            <w:r w:rsidRPr="004437DA">
              <w:rPr>
                <w:rFonts w:asciiTheme="minorEastAsia" w:hAnsiTheme="minorEastAsia" w:hint="eastAsia"/>
                <w:szCs w:val="21"/>
              </w:rPr>
              <w:t>4</w:t>
            </w:r>
          </w:p>
        </w:tc>
        <w:tc>
          <w:tcPr>
            <w:tcW w:w="6804" w:type="dxa"/>
            <w:vAlign w:val="center"/>
          </w:tcPr>
          <w:p w:rsidR="004437DA" w:rsidRPr="004437DA" w:rsidRDefault="004437DA" w:rsidP="004437DA">
            <w:pPr>
              <w:rPr>
                <w:rFonts w:asciiTheme="minorEastAsia" w:hAnsiTheme="minorEastAsia"/>
                <w:szCs w:val="21"/>
              </w:rPr>
            </w:pPr>
            <w:r w:rsidRPr="004437DA">
              <w:rPr>
                <w:rFonts w:asciiTheme="minorEastAsia" w:hAnsiTheme="minorEastAsia" w:hint="eastAsia"/>
                <w:szCs w:val="21"/>
              </w:rPr>
              <w:t>了解信息系统的定位、后续的安全规划、安全建设、安全实施和等级保护工作相关各方的资源投入，通过对信息系统的调查和分析，科学、合理地划分信息系统的子系统，并依据各种因素确定信息系统的安全保护等级。</w:t>
            </w:r>
          </w:p>
        </w:tc>
        <w:tc>
          <w:tcPr>
            <w:tcW w:w="1134" w:type="dxa"/>
            <w:vAlign w:val="center"/>
          </w:tcPr>
          <w:p w:rsidR="004437DA" w:rsidRPr="004437DA" w:rsidRDefault="004437DA" w:rsidP="004437DA">
            <w:pPr>
              <w:rPr>
                <w:rFonts w:asciiTheme="minorEastAsia" w:hAnsiTheme="minorEastAsia"/>
                <w:szCs w:val="21"/>
              </w:rPr>
            </w:pPr>
          </w:p>
        </w:tc>
      </w:tr>
      <w:tr w:rsidR="004437DA" w:rsidRPr="004437DA" w:rsidTr="004437DA">
        <w:tc>
          <w:tcPr>
            <w:tcW w:w="817" w:type="dxa"/>
            <w:vAlign w:val="center"/>
          </w:tcPr>
          <w:p w:rsidR="004437DA" w:rsidRPr="004437DA" w:rsidRDefault="004437DA" w:rsidP="004437DA">
            <w:pPr>
              <w:jc w:val="center"/>
              <w:rPr>
                <w:rFonts w:asciiTheme="minorEastAsia" w:hAnsiTheme="minorEastAsia"/>
                <w:szCs w:val="21"/>
              </w:rPr>
            </w:pPr>
            <w:r w:rsidRPr="004437DA">
              <w:rPr>
                <w:rFonts w:asciiTheme="minorEastAsia" w:hAnsiTheme="minorEastAsia" w:hint="eastAsia"/>
                <w:szCs w:val="21"/>
              </w:rPr>
              <w:t>5</w:t>
            </w:r>
          </w:p>
        </w:tc>
        <w:tc>
          <w:tcPr>
            <w:tcW w:w="6804" w:type="dxa"/>
            <w:vAlign w:val="center"/>
          </w:tcPr>
          <w:p w:rsidR="004437DA" w:rsidRPr="004437DA" w:rsidRDefault="004437DA" w:rsidP="004437DA">
            <w:pPr>
              <w:rPr>
                <w:rFonts w:asciiTheme="minorEastAsia" w:hAnsiTheme="minorEastAsia"/>
                <w:szCs w:val="21"/>
              </w:rPr>
            </w:pPr>
            <w:r w:rsidRPr="004437DA">
              <w:rPr>
                <w:rFonts w:asciiTheme="minorEastAsia" w:hAnsiTheme="minorEastAsia" w:hint="eastAsia"/>
                <w:szCs w:val="21"/>
              </w:rPr>
              <w:t>根据网络安全等级保护第二级系统建设，按照安全指标评估系统安全现状，找出系统现状与安全指标之间的差距，并通过差距分析方法根据承载业务的安全特点找出系统的特定需求。</w:t>
            </w:r>
          </w:p>
        </w:tc>
        <w:tc>
          <w:tcPr>
            <w:tcW w:w="1134" w:type="dxa"/>
            <w:vAlign w:val="center"/>
          </w:tcPr>
          <w:p w:rsidR="004437DA" w:rsidRPr="004437DA" w:rsidRDefault="004437DA" w:rsidP="004437DA">
            <w:pPr>
              <w:rPr>
                <w:rFonts w:asciiTheme="minorEastAsia" w:hAnsiTheme="minorEastAsia"/>
                <w:szCs w:val="21"/>
              </w:rPr>
            </w:pPr>
          </w:p>
        </w:tc>
      </w:tr>
      <w:tr w:rsidR="004437DA" w:rsidRPr="004437DA" w:rsidTr="004437DA">
        <w:tc>
          <w:tcPr>
            <w:tcW w:w="817" w:type="dxa"/>
            <w:vAlign w:val="center"/>
          </w:tcPr>
          <w:p w:rsidR="004437DA" w:rsidRPr="004437DA" w:rsidRDefault="004437DA" w:rsidP="004437DA">
            <w:pPr>
              <w:jc w:val="center"/>
              <w:rPr>
                <w:rFonts w:asciiTheme="minorEastAsia" w:hAnsiTheme="minorEastAsia"/>
                <w:szCs w:val="21"/>
              </w:rPr>
            </w:pPr>
            <w:r w:rsidRPr="004437DA">
              <w:rPr>
                <w:rFonts w:asciiTheme="minorEastAsia" w:hAnsiTheme="minorEastAsia" w:hint="eastAsia"/>
                <w:szCs w:val="21"/>
              </w:rPr>
              <w:t>6</w:t>
            </w:r>
          </w:p>
        </w:tc>
        <w:tc>
          <w:tcPr>
            <w:tcW w:w="6804" w:type="dxa"/>
            <w:vAlign w:val="center"/>
          </w:tcPr>
          <w:p w:rsidR="004437DA" w:rsidRPr="004437DA" w:rsidRDefault="004437DA" w:rsidP="004437DA">
            <w:pPr>
              <w:rPr>
                <w:rFonts w:asciiTheme="minorEastAsia" w:hAnsiTheme="minorEastAsia"/>
                <w:szCs w:val="21"/>
              </w:rPr>
            </w:pPr>
            <w:r w:rsidRPr="004437DA">
              <w:rPr>
                <w:rFonts w:asciiTheme="minorEastAsia" w:hAnsiTheme="minorEastAsia" w:hint="eastAsia"/>
                <w:szCs w:val="21"/>
              </w:rPr>
              <w:t>对被评估信息系统的涉及人员进行访谈，访谈内容涉及安全通信网络、安全区域边界、安全计算环境、安全管理中心、安全物理环境等五个方面，应对访谈的内容做详细的纪要，作为等级差距评估的重要依据。</w:t>
            </w:r>
          </w:p>
        </w:tc>
        <w:tc>
          <w:tcPr>
            <w:tcW w:w="1134" w:type="dxa"/>
            <w:vAlign w:val="center"/>
          </w:tcPr>
          <w:p w:rsidR="004437DA" w:rsidRPr="004437DA" w:rsidRDefault="004437DA" w:rsidP="004437DA">
            <w:pPr>
              <w:rPr>
                <w:rFonts w:asciiTheme="minorEastAsia" w:hAnsiTheme="minorEastAsia"/>
                <w:szCs w:val="21"/>
              </w:rPr>
            </w:pPr>
          </w:p>
        </w:tc>
      </w:tr>
      <w:tr w:rsidR="004437DA" w:rsidRPr="004437DA" w:rsidTr="004437DA">
        <w:tc>
          <w:tcPr>
            <w:tcW w:w="817" w:type="dxa"/>
            <w:vAlign w:val="center"/>
          </w:tcPr>
          <w:p w:rsidR="004437DA" w:rsidRPr="004437DA" w:rsidRDefault="004437DA" w:rsidP="004437DA">
            <w:pPr>
              <w:jc w:val="center"/>
              <w:rPr>
                <w:rFonts w:asciiTheme="minorEastAsia" w:hAnsiTheme="minorEastAsia"/>
                <w:szCs w:val="21"/>
              </w:rPr>
            </w:pPr>
            <w:r w:rsidRPr="004437DA">
              <w:rPr>
                <w:rFonts w:asciiTheme="minorEastAsia" w:hAnsiTheme="minorEastAsia" w:hint="eastAsia"/>
                <w:szCs w:val="21"/>
              </w:rPr>
              <w:t>7</w:t>
            </w:r>
          </w:p>
        </w:tc>
        <w:tc>
          <w:tcPr>
            <w:tcW w:w="6804" w:type="dxa"/>
            <w:vAlign w:val="center"/>
          </w:tcPr>
          <w:p w:rsidR="004437DA" w:rsidRPr="004437DA" w:rsidRDefault="004437DA" w:rsidP="004437DA">
            <w:pPr>
              <w:rPr>
                <w:rFonts w:asciiTheme="minorEastAsia" w:hAnsiTheme="minorEastAsia"/>
                <w:szCs w:val="21"/>
              </w:rPr>
            </w:pPr>
            <w:r w:rsidRPr="004437DA">
              <w:rPr>
                <w:rFonts w:asciiTheme="minorEastAsia" w:hAnsiTheme="minorEastAsia" w:hint="eastAsia"/>
                <w:szCs w:val="21"/>
              </w:rPr>
              <w:t>通过专业工具以本地扫描的方式对评估范围内的系统、设备和网络进行检查，从内网和外网两个角度来查找物理机房、网络结构、通信网络设施、网络区域边界，安全管理中心，服务器主机、信息系统、数据库和用户账号/口令等安全对象目标存在的安全风险、漏洞和威胁；通过Internet对web页面进行渗透检查，从中发现是否存在安全风险、漏洞和威胁，同时通过人员访谈，手动核查等方式进行验证是否符合网络安全等级保护要求。</w:t>
            </w:r>
          </w:p>
        </w:tc>
        <w:tc>
          <w:tcPr>
            <w:tcW w:w="1134" w:type="dxa"/>
            <w:vAlign w:val="center"/>
          </w:tcPr>
          <w:p w:rsidR="004437DA" w:rsidRPr="004437DA" w:rsidRDefault="004437DA" w:rsidP="004437DA">
            <w:pPr>
              <w:rPr>
                <w:rFonts w:asciiTheme="minorEastAsia" w:hAnsiTheme="minorEastAsia"/>
                <w:szCs w:val="21"/>
              </w:rPr>
            </w:pPr>
          </w:p>
        </w:tc>
      </w:tr>
      <w:tr w:rsidR="004437DA" w:rsidRPr="004437DA" w:rsidTr="004437DA">
        <w:tc>
          <w:tcPr>
            <w:tcW w:w="817" w:type="dxa"/>
            <w:vAlign w:val="center"/>
          </w:tcPr>
          <w:p w:rsidR="004437DA" w:rsidRPr="004437DA" w:rsidRDefault="004437DA" w:rsidP="004437DA">
            <w:pPr>
              <w:jc w:val="center"/>
              <w:rPr>
                <w:rFonts w:asciiTheme="minorEastAsia" w:hAnsiTheme="minorEastAsia"/>
                <w:szCs w:val="21"/>
              </w:rPr>
            </w:pPr>
            <w:r w:rsidRPr="004437DA">
              <w:rPr>
                <w:rFonts w:asciiTheme="minorEastAsia" w:hAnsiTheme="minorEastAsia" w:hint="eastAsia"/>
                <w:szCs w:val="21"/>
              </w:rPr>
              <w:t>8</w:t>
            </w:r>
          </w:p>
        </w:tc>
        <w:tc>
          <w:tcPr>
            <w:tcW w:w="6804" w:type="dxa"/>
            <w:vAlign w:val="center"/>
          </w:tcPr>
          <w:p w:rsidR="004437DA" w:rsidRPr="004437DA" w:rsidRDefault="004437DA" w:rsidP="004437DA">
            <w:pPr>
              <w:rPr>
                <w:rFonts w:asciiTheme="minorEastAsia" w:hAnsiTheme="minorEastAsia"/>
                <w:szCs w:val="21"/>
              </w:rPr>
            </w:pPr>
            <w:r w:rsidRPr="004437DA">
              <w:rPr>
                <w:rFonts w:asciiTheme="minorEastAsia" w:hAnsiTheme="minorEastAsia" w:hint="eastAsia"/>
                <w:szCs w:val="21"/>
              </w:rPr>
              <w:t>在差距分析过程中，为确保测评过程不带来新的安全风险点，须使用有专业有效防护策略和措施的工具对服务器系统、业务系统进行安全扫描测试，能对安全扫描的资产范围做设定，并对扫描过程做到记录。</w:t>
            </w:r>
          </w:p>
        </w:tc>
        <w:tc>
          <w:tcPr>
            <w:tcW w:w="1134" w:type="dxa"/>
            <w:vAlign w:val="center"/>
          </w:tcPr>
          <w:p w:rsidR="004437DA" w:rsidRPr="004437DA" w:rsidRDefault="004437DA" w:rsidP="004437DA">
            <w:pPr>
              <w:rPr>
                <w:rFonts w:asciiTheme="minorEastAsia" w:hAnsiTheme="minorEastAsia"/>
                <w:szCs w:val="21"/>
              </w:rPr>
            </w:pPr>
          </w:p>
        </w:tc>
      </w:tr>
      <w:tr w:rsidR="004437DA" w:rsidRPr="004437DA" w:rsidTr="004437DA">
        <w:tc>
          <w:tcPr>
            <w:tcW w:w="817" w:type="dxa"/>
            <w:vAlign w:val="center"/>
          </w:tcPr>
          <w:p w:rsidR="004437DA" w:rsidRPr="004437DA" w:rsidRDefault="004437DA" w:rsidP="004437DA">
            <w:pPr>
              <w:jc w:val="center"/>
              <w:rPr>
                <w:rFonts w:asciiTheme="minorEastAsia" w:hAnsiTheme="minorEastAsia"/>
                <w:szCs w:val="21"/>
              </w:rPr>
            </w:pPr>
            <w:r w:rsidRPr="004437DA">
              <w:rPr>
                <w:rFonts w:asciiTheme="minorEastAsia" w:hAnsiTheme="minorEastAsia" w:hint="eastAsia"/>
                <w:szCs w:val="21"/>
              </w:rPr>
              <w:t>9</w:t>
            </w:r>
          </w:p>
        </w:tc>
        <w:tc>
          <w:tcPr>
            <w:tcW w:w="6804" w:type="dxa"/>
            <w:vAlign w:val="center"/>
          </w:tcPr>
          <w:p w:rsidR="004437DA" w:rsidRPr="004437DA" w:rsidRDefault="004437DA" w:rsidP="004437DA">
            <w:pPr>
              <w:rPr>
                <w:rFonts w:asciiTheme="minorEastAsia" w:hAnsiTheme="minorEastAsia"/>
                <w:szCs w:val="21"/>
              </w:rPr>
            </w:pPr>
            <w:r w:rsidRPr="004437DA">
              <w:rPr>
                <w:rFonts w:asciiTheme="minorEastAsia" w:hAnsiTheme="minorEastAsia" w:hint="eastAsia"/>
                <w:szCs w:val="21"/>
              </w:rPr>
              <w:t>等级保护整改服务：根据差距分析，对存在的不足进行整改，包括等级保护要求的安全管理体系和安全技术体系整改。</w:t>
            </w:r>
          </w:p>
        </w:tc>
        <w:tc>
          <w:tcPr>
            <w:tcW w:w="1134" w:type="dxa"/>
            <w:vAlign w:val="center"/>
          </w:tcPr>
          <w:p w:rsidR="004437DA" w:rsidRPr="004437DA" w:rsidRDefault="004437DA" w:rsidP="004437DA">
            <w:pPr>
              <w:rPr>
                <w:rFonts w:asciiTheme="minorEastAsia" w:hAnsiTheme="minorEastAsia"/>
                <w:szCs w:val="21"/>
              </w:rPr>
            </w:pPr>
          </w:p>
        </w:tc>
      </w:tr>
      <w:tr w:rsidR="004437DA" w:rsidRPr="004437DA" w:rsidTr="004437DA">
        <w:tc>
          <w:tcPr>
            <w:tcW w:w="817" w:type="dxa"/>
            <w:vAlign w:val="center"/>
          </w:tcPr>
          <w:p w:rsidR="004437DA" w:rsidRPr="004437DA" w:rsidRDefault="004437DA" w:rsidP="004437DA">
            <w:pPr>
              <w:jc w:val="center"/>
              <w:rPr>
                <w:rFonts w:asciiTheme="minorEastAsia" w:hAnsiTheme="minorEastAsia"/>
                <w:szCs w:val="21"/>
              </w:rPr>
            </w:pPr>
            <w:r w:rsidRPr="004437DA">
              <w:rPr>
                <w:rFonts w:asciiTheme="minorEastAsia" w:hAnsiTheme="minorEastAsia" w:hint="eastAsia"/>
                <w:szCs w:val="21"/>
              </w:rPr>
              <w:t>10</w:t>
            </w:r>
          </w:p>
        </w:tc>
        <w:tc>
          <w:tcPr>
            <w:tcW w:w="6804" w:type="dxa"/>
            <w:vAlign w:val="center"/>
          </w:tcPr>
          <w:p w:rsidR="004437DA" w:rsidRPr="004437DA" w:rsidRDefault="004437DA" w:rsidP="004437DA">
            <w:pPr>
              <w:rPr>
                <w:rFonts w:asciiTheme="minorEastAsia" w:hAnsiTheme="minorEastAsia"/>
                <w:szCs w:val="21"/>
              </w:rPr>
            </w:pPr>
            <w:r w:rsidRPr="004437DA">
              <w:rPr>
                <w:rFonts w:asciiTheme="minorEastAsia" w:hAnsiTheme="minorEastAsia" w:hint="eastAsia"/>
                <w:szCs w:val="21"/>
              </w:rPr>
              <w:t>配合辅助完成福建省应急管理厅门户网站系统通过网络安全等级测评，即获得省级网安部门认可的二级网络安全等级保护测评报告。</w:t>
            </w:r>
          </w:p>
        </w:tc>
        <w:tc>
          <w:tcPr>
            <w:tcW w:w="1134" w:type="dxa"/>
            <w:vAlign w:val="center"/>
          </w:tcPr>
          <w:p w:rsidR="004437DA" w:rsidRPr="004437DA" w:rsidRDefault="004437DA" w:rsidP="004437DA">
            <w:pPr>
              <w:rPr>
                <w:rFonts w:asciiTheme="minorEastAsia" w:hAnsiTheme="minorEastAsia"/>
                <w:szCs w:val="21"/>
              </w:rPr>
            </w:pPr>
          </w:p>
        </w:tc>
      </w:tr>
      <w:tr w:rsidR="004437DA" w:rsidRPr="004437DA" w:rsidTr="004437DA">
        <w:tc>
          <w:tcPr>
            <w:tcW w:w="817" w:type="dxa"/>
            <w:vAlign w:val="center"/>
          </w:tcPr>
          <w:p w:rsidR="004437DA" w:rsidRPr="004437DA" w:rsidRDefault="004437DA" w:rsidP="004437DA">
            <w:pPr>
              <w:jc w:val="center"/>
              <w:rPr>
                <w:rFonts w:asciiTheme="minorEastAsia" w:hAnsiTheme="minorEastAsia"/>
                <w:szCs w:val="21"/>
              </w:rPr>
            </w:pPr>
            <w:r w:rsidRPr="004437DA">
              <w:rPr>
                <w:rFonts w:asciiTheme="minorEastAsia" w:hAnsiTheme="minorEastAsia" w:hint="eastAsia"/>
                <w:szCs w:val="21"/>
              </w:rPr>
              <w:lastRenderedPageBreak/>
              <w:t>11</w:t>
            </w:r>
          </w:p>
        </w:tc>
        <w:tc>
          <w:tcPr>
            <w:tcW w:w="6804" w:type="dxa"/>
            <w:vAlign w:val="center"/>
          </w:tcPr>
          <w:p w:rsidR="004437DA" w:rsidRPr="004437DA" w:rsidRDefault="004437DA" w:rsidP="004437DA">
            <w:pPr>
              <w:rPr>
                <w:rFonts w:asciiTheme="minorEastAsia" w:hAnsiTheme="minorEastAsia"/>
                <w:szCs w:val="21"/>
              </w:rPr>
            </w:pPr>
            <w:r w:rsidRPr="004437DA">
              <w:rPr>
                <w:rFonts w:asciiTheme="minorEastAsia" w:hAnsiTheme="minorEastAsia" w:hint="eastAsia"/>
                <w:szCs w:val="21"/>
              </w:rPr>
              <w:t>测评工作须依据国家《中华人民共和国计算机信息系统安全保护条例》（国务院147号令）、《信息安全等级保护管理办法》（公通字[2007]43号）、《信息安全技术 网络安全等级保护基本要求GBT22239-2019 》（以下简称《基本要求》）、《信息安全技术 网络安全等级保护测评要求GBT28448-2019》（以下简称《测评要求》）等法规要求开展现场信息系统安全等级测评工作。</w:t>
            </w:r>
          </w:p>
        </w:tc>
        <w:tc>
          <w:tcPr>
            <w:tcW w:w="1134" w:type="dxa"/>
            <w:vAlign w:val="center"/>
          </w:tcPr>
          <w:p w:rsidR="004437DA" w:rsidRPr="004437DA" w:rsidRDefault="004437DA" w:rsidP="004437DA">
            <w:pPr>
              <w:rPr>
                <w:rFonts w:asciiTheme="minorEastAsia" w:hAnsiTheme="minorEastAsia"/>
                <w:szCs w:val="21"/>
              </w:rPr>
            </w:pPr>
          </w:p>
        </w:tc>
      </w:tr>
      <w:tr w:rsidR="004437DA" w:rsidRPr="004437DA" w:rsidTr="004437DA">
        <w:tc>
          <w:tcPr>
            <w:tcW w:w="817" w:type="dxa"/>
            <w:vAlign w:val="center"/>
          </w:tcPr>
          <w:p w:rsidR="004437DA" w:rsidRPr="004437DA" w:rsidRDefault="004437DA" w:rsidP="004437DA">
            <w:pPr>
              <w:jc w:val="center"/>
              <w:rPr>
                <w:rFonts w:asciiTheme="minorEastAsia" w:hAnsiTheme="minorEastAsia"/>
                <w:szCs w:val="21"/>
              </w:rPr>
            </w:pPr>
            <w:r w:rsidRPr="004437DA">
              <w:rPr>
                <w:rFonts w:asciiTheme="minorEastAsia" w:hAnsiTheme="minorEastAsia" w:hint="eastAsia"/>
                <w:szCs w:val="21"/>
              </w:rPr>
              <w:t>12</w:t>
            </w:r>
          </w:p>
        </w:tc>
        <w:tc>
          <w:tcPr>
            <w:tcW w:w="6804" w:type="dxa"/>
            <w:vAlign w:val="center"/>
          </w:tcPr>
          <w:p w:rsidR="004437DA" w:rsidRPr="004437DA" w:rsidRDefault="004A0F7A" w:rsidP="004437DA">
            <w:pPr>
              <w:rPr>
                <w:rFonts w:asciiTheme="minorEastAsia" w:hAnsiTheme="minorEastAsia"/>
                <w:szCs w:val="21"/>
              </w:rPr>
            </w:pPr>
            <w:r w:rsidRPr="004A0F7A">
              <w:rPr>
                <w:rFonts w:asciiTheme="minorEastAsia" w:hAnsiTheme="minorEastAsia" w:hint="eastAsia"/>
                <w:szCs w:val="21"/>
              </w:rPr>
              <w:t>等级保护对象所涉及到的主机房、辅助机房和异地备份机房等进行物理安全差距分析，内容包括物理位置选择、物理访问控制、防盗窃和防破坏、防雷击、防火、防水和防潮、防静电、温湿度控制、电力供应及电磁防护等方面。</w:t>
            </w:r>
          </w:p>
        </w:tc>
        <w:tc>
          <w:tcPr>
            <w:tcW w:w="1134" w:type="dxa"/>
            <w:vAlign w:val="center"/>
          </w:tcPr>
          <w:p w:rsidR="004437DA" w:rsidRPr="004437DA" w:rsidRDefault="004437DA" w:rsidP="004437DA">
            <w:pPr>
              <w:rPr>
                <w:rFonts w:asciiTheme="minorEastAsia" w:hAnsiTheme="minorEastAsia"/>
                <w:szCs w:val="21"/>
              </w:rPr>
            </w:pPr>
          </w:p>
        </w:tc>
      </w:tr>
      <w:tr w:rsidR="004437DA" w:rsidRPr="004437DA" w:rsidTr="004437DA">
        <w:tc>
          <w:tcPr>
            <w:tcW w:w="817" w:type="dxa"/>
            <w:vAlign w:val="center"/>
          </w:tcPr>
          <w:p w:rsidR="004437DA" w:rsidRPr="004437DA" w:rsidRDefault="004437DA" w:rsidP="004437DA">
            <w:pPr>
              <w:jc w:val="center"/>
              <w:rPr>
                <w:rFonts w:asciiTheme="minorEastAsia" w:hAnsiTheme="minorEastAsia"/>
                <w:szCs w:val="21"/>
              </w:rPr>
            </w:pPr>
            <w:r w:rsidRPr="004437DA">
              <w:rPr>
                <w:rFonts w:asciiTheme="minorEastAsia" w:hAnsiTheme="minorEastAsia" w:hint="eastAsia"/>
                <w:szCs w:val="21"/>
              </w:rPr>
              <w:t>13</w:t>
            </w:r>
          </w:p>
        </w:tc>
        <w:tc>
          <w:tcPr>
            <w:tcW w:w="6804" w:type="dxa"/>
            <w:vAlign w:val="center"/>
          </w:tcPr>
          <w:p w:rsidR="004437DA" w:rsidRPr="004437DA" w:rsidRDefault="004A0F7A" w:rsidP="004437DA">
            <w:pPr>
              <w:rPr>
                <w:rFonts w:asciiTheme="minorEastAsia" w:hAnsiTheme="minorEastAsia"/>
                <w:szCs w:val="21"/>
              </w:rPr>
            </w:pPr>
            <w:r w:rsidRPr="004A0F7A">
              <w:rPr>
                <w:rFonts w:asciiTheme="minorEastAsia" w:hAnsiTheme="minorEastAsia" w:hint="eastAsia"/>
                <w:szCs w:val="21"/>
              </w:rPr>
              <w:t>安全物理环境测评须通过访谈、文档审查和实地察看的方式测评信息系统的物理安全保障情况，主要涉及对象为机房。安全通信网络和安全区域边界测评须通过访谈、配置检查和工具测试的方式测评信息系统的网络安全保障情况，主要涉及对象为接入交换机、核心交换机、网络安全设备以及网络结构等的检查。安全计算环境测评须通过访谈、配置检查和工具测试的方式测评信息系统的主机安全保障情况；安全计算环境的应用安全测评须通过访谈、配置检查和工具测试的方式测评信息系统的应用安全保障情况；安全计算环境中的数据安全测评须通过访谈、配置检查的方式测评信息系统的数据安全保障情况，主要涉及对象为信息系统的管理数据及业务数据等。</w:t>
            </w:r>
          </w:p>
        </w:tc>
        <w:tc>
          <w:tcPr>
            <w:tcW w:w="1134" w:type="dxa"/>
            <w:vAlign w:val="center"/>
          </w:tcPr>
          <w:p w:rsidR="004437DA" w:rsidRPr="004437DA" w:rsidRDefault="004437DA" w:rsidP="004437DA">
            <w:pPr>
              <w:rPr>
                <w:rFonts w:asciiTheme="minorEastAsia" w:hAnsiTheme="minorEastAsia"/>
                <w:szCs w:val="21"/>
              </w:rPr>
            </w:pPr>
          </w:p>
        </w:tc>
      </w:tr>
      <w:tr w:rsidR="004A0F7A" w:rsidRPr="004437DA" w:rsidTr="004437DA">
        <w:tc>
          <w:tcPr>
            <w:tcW w:w="817" w:type="dxa"/>
            <w:vAlign w:val="center"/>
          </w:tcPr>
          <w:p w:rsidR="004A0F7A" w:rsidRPr="004437DA" w:rsidRDefault="004A0F7A" w:rsidP="0022758F">
            <w:pPr>
              <w:jc w:val="center"/>
              <w:rPr>
                <w:rFonts w:asciiTheme="minorEastAsia" w:hAnsiTheme="minorEastAsia"/>
                <w:szCs w:val="21"/>
              </w:rPr>
            </w:pPr>
            <w:r w:rsidRPr="004437DA">
              <w:rPr>
                <w:rFonts w:asciiTheme="minorEastAsia" w:hAnsiTheme="minorEastAsia" w:hint="eastAsia"/>
                <w:szCs w:val="21"/>
              </w:rPr>
              <w:t>14</w:t>
            </w:r>
          </w:p>
        </w:tc>
        <w:tc>
          <w:tcPr>
            <w:tcW w:w="6804" w:type="dxa"/>
            <w:vAlign w:val="center"/>
          </w:tcPr>
          <w:p w:rsidR="004A0F7A" w:rsidRPr="00C24752" w:rsidRDefault="004A0F7A" w:rsidP="004437DA">
            <w:pPr>
              <w:rPr>
                <w:rFonts w:ascii="宋体" w:eastAsia="宋体" w:hAnsi="宋体" w:cs="宋体"/>
                <w:kern w:val="0"/>
                <w:sz w:val="24"/>
                <w:highlight w:val="yellow"/>
              </w:rPr>
            </w:pPr>
            <w:r w:rsidRPr="004437DA">
              <w:rPr>
                <w:rFonts w:asciiTheme="minorEastAsia" w:hAnsiTheme="minorEastAsia" w:hint="eastAsia"/>
                <w:szCs w:val="21"/>
              </w:rPr>
              <w:t>在测评师现场实施过程中为不增加新接入风险点，接入过程中使用便携式安全运维装置,提供装置安全产品销售许可证。</w:t>
            </w:r>
          </w:p>
        </w:tc>
        <w:tc>
          <w:tcPr>
            <w:tcW w:w="1134" w:type="dxa"/>
            <w:vAlign w:val="center"/>
          </w:tcPr>
          <w:p w:rsidR="004A0F7A" w:rsidRPr="004437DA" w:rsidRDefault="004A0F7A" w:rsidP="004437DA">
            <w:pPr>
              <w:rPr>
                <w:rFonts w:asciiTheme="minorEastAsia" w:hAnsiTheme="minorEastAsia"/>
                <w:szCs w:val="21"/>
              </w:rPr>
            </w:pPr>
          </w:p>
        </w:tc>
      </w:tr>
      <w:tr w:rsidR="004A0F7A" w:rsidRPr="004437DA" w:rsidTr="004437DA">
        <w:tc>
          <w:tcPr>
            <w:tcW w:w="817" w:type="dxa"/>
            <w:vAlign w:val="center"/>
          </w:tcPr>
          <w:p w:rsidR="004A0F7A" w:rsidRPr="004437DA" w:rsidRDefault="004A0F7A" w:rsidP="0022758F">
            <w:pPr>
              <w:jc w:val="center"/>
              <w:rPr>
                <w:rFonts w:asciiTheme="minorEastAsia" w:hAnsiTheme="minorEastAsia"/>
                <w:szCs w:val="21"/>
              </w:rPr>
            </w:pPr>
            <w:r w:rsidRPr="004437DA">
              <w:rPr>
                <w:rFonts w:asciiTheme="minorEastAsia" w:hAnsiTheme="minorEastAsia" w:hint="eastAsia"/>
                <w:szCs w:val="21"/>
              </w:rPr>
              <w:t>15</w:t>
            </w:r>
          </w:p>
        </w:tc>
        <w:tc>
          <w:tcPr>
            <w:tcW w:w="6804" w:type="dxa"/>
            <w:vAlign w:val="center"/>
          </w:tcPr>
          <w:p w:rsidR="004A0F7A" w:rsidRPr="004437DA" w:rsidRDefault="004A0F7A" w:rsidP="004437DA">
            <w:pPr>
              <w:rPr>
                <w:rFonts w:asciiTheme="minorEastAsia" w:hAnsiTheme="minorEastAsia"/>
                <w:szCs w:val="21"/>
              </w:rPr>
            </w:pPr>
            <w:r w:rsidRPr="004437DA">
              <w:rPr>
                <w:rFonts w:asciiTheme="minorEastAsia" w:hAnsiTheme="minorEastAsia" w:hint="eastAsia"/>
                <w:szCs w:val="21"/>
              </w:rPr>
              <w:t>工期：合同签订后3个月内完成。</w:t>
            </w:r>
          </w:p>
        </w:tc>
        <w:tc>
          <w:tcPr>
            <w:tcW w:w="1134" w:type="dxa"/>
            <w:vAlign w:val="center"/>
          </w:tcPr>
          <w:p w:rsidR="004A0F7A" w:rsidRPr="004437DA" w:rsidRDefault="004A0F7A" w:rsidP="004437DA">
            <w:pPr>
              <w:rPr>
                <w:rFonts w:asciiTheme="minorEastAsia" w:hAnsiTheme="minorEastAsia"/>
                <w:szCs w:val="21"/>
              </w:rPr>
            </w:pPr>
          </w:p>
        </w:tc>
      </w:tr>
      <w:tr w:rsidR="004A0F7A" w:rsidRPr="004437DA" w:rsidTr="004437DA">
        <w:tc>
          <w:tcPr>
            <w:tcW w:w="817" w:type="dxa"/>
            <w:vAlign w:val="center"/>
          </w:tcPr>
          <w:p w:rsidR="004A0F7A" w:rsidRPr="004437DA" w:rsidRDefault="004A0F7A" w:rsidP="0022758F">
            <w:pPr>
              <w:jc w:val="center"/>
              <w:rPr>
                <w:rFonts w:asciiTheme="minorEastAsia" w:hAnsiTheme="minorEastAsia"/>
                <w:szCs w:val="21"/>
              </w:rPr>
            </w:pPr>
            <w:r w:rsidRPr="004437DA">
              <w:rPr>
                <w:rFonts w:asciiTheme="minorEastAsia" w:hAnsiTheme="minorEastAsia" w:hint="eastAsia"/>
                <w:szCs w:val="21"/>
              </w:rPr>
              <w:t>16</w:t>
            </w:r>
          </w:p>
        </w:tc>
        <w:tc>
          <w:tcPr>
            <w:tcW w:w="6804" w:type="dxa"/>
            <w:vAlign w:val="center"/>
          </w:tcPr>
          <w:p w:rsidR="004A0F7A" w:rsidRPr="004437DA" w:rsidRDefault="004A0F7A" w:rsidP="004437DA">
            <w:pPr>
              <w:rPr>
                <w:rFonts w:asciiTheme="minorEastAsia" w:hAnsiTheme="minorEastAsia"/>
                <w:szCs w:val="21"/>
              </w:rPr>
            </w:pPr>
            <w:r w:rsidRPr="004437DA">
              <w:rPr>
                <w:rFonts w:asciiTheme="minorEastAsia" w:hAnsiTheme="minorEastAsia" w:hint="eastAsia"/>
                <w:szCs w:val="21"/>
              </w:rPr>
              <w:t>验收要求：福建省应急管理厅门户网站通过网络安全等级测评（安全等级由专家定级备案的结果为准），获得省级网安部门认可的纸质网络安全等级保护测评报告和备案证明即通过验收。</w:t>
            </w:r>
          </w:p>
        </w:tc>
        <w:tc>
          <w:tcPr>
            <w:tcW w:w="1134" w:type="dxa"/>
            <w:vAlign w:val="center"/>
          </w:tcPr>
          <w:p w:rsidR="004A0F7A" w:rsidRPr="004437DA" w:rsidRDefault="004A0F7A" w:rsidP="004437DA">
            <w:pPr>
              <w:rPr>
                <w:rFonts w:asciiTheme="minorEastAsia" w:hAnsiTheme="minorEastAsia"/>
                <w:szCs w:val="21"/>
              </w:rPr>
            </w:pPr>
          </w:p>
        </w:tc>
      </w:tr>
      <w:tr w:rsidR="004A0F7A" w:rsidRPr="004437DA" w:rsidTr="004437DA">
        <w:trPr>
          <w:trHeight w:val="173"/>
        </w:trPr>
        <w:tc>
          <w:tcPr>
            <w:tcW w:w="817" w:type="dxa"/>
            <w:vAlign w:val="center"/>
          </w:tcPr>
          <w:p w:rsidR="004A0F7A" w:rsidRPr="004437DA" w:rsidRDefault="004A0F7A" w:rsidP="0022758F">
            <w:pPr>
              <w:jc w:val="center"/>
              <w:rPr>
                <w:rFonts w:asciiTheme="minorEastAsia" w:hAnsiTheme="minorEastAsia"/>
                <w:szCs w:val="21"/>
              </w:rPr>
            </w:pPr>
            <w:r w:rsidRPr="004437DA">
              <w:rPr>
                <w:rFonts w:asciiTheme="minorEastAsia" w:hAnsiTheme="minorEastAsia" w:hint="eastAsia"/>
                <w:szCs w:val="21"/>
              </w:rPr>
              <w:t>17</w:t>
            </w:r>
          </w:p>
        </w:tc>
        <w:tc>
          <w:tcPr>
            <w:tcW w:w="6804" w:type="dxa"/>
            <w:vAlign w:val="center"/>
          </w:tcPr>
          <w:p w:rsidR="004A0F7A" w:rsidRPr="004437DA" w:rsidRDefault="004A0F7A" w:rsidP="004437DA">
            <w:pPr>
              <w:rPr>
                <w:rFonts w:asciiTheme="minorEastAsia" w:hAnsiTheme="minorEastAsia"/>
                <w:szCs w:val="21"/>
              </w:rPr>
            </w:pPr>
            <w:r w:rsidRPr="004437DA">
              <w:rPr>
                <w:rFonts w:asciiTheme="minorEastAsia" w:hAnsiTheme="minorEastAsia" w:hint="eastAsia"/>
                <w:szCs w:val="21"/>
              </w:rPr>
              <w:t>售后服务：该项目服务咨询期为1年。</w:t>
            </w:r>
          </w:p>
        </w:tc>
        <w:tc>
          <w:tcPr>
            <w:tcW w:w="1134" w:type="dxa"/>
            <w:vAlign w:val="center"/>
          </w:tcPr>
          <w:p w:rsidR="004A0F7A" w:rsidRPr="004437DA" w:rsidRDefault="004A0F7A" w:rsidP="004437DA">
            <w:pPr>
              <w:rPr>
                <w:rFonts w:asciiTheme="minorEastAsia" w:hAnsiTheme="minorEastAsia"/>
                <w:szCs w:val="21"/>
              </w:rPr>
            </w:pPr>
          </w:p>
        </w:tc>
      </w:tr>
      <w:tr w:rsidR="004A0F7A" w:rsidRPr="004437DA" w:rsidTr="004437DA">
        <w:tc>
          <w:tcPr>
            <w:tcW w:w="817" w:type="dxa"/>
            <w:vAlign w:val="center"/>
          </w:tcPr>
          <w:p w:rsidR="004A0F7A" w:rsidRPr="004437DA" w:rsidRDefault="004A0F7A" w:rsidP="004437DA">
            <w:pPr>
              <w:jc w:val="center"/>
              <w:rPr>
                <w:rFonts w:asciiTheme="minorEastAsia" w:hAnsiTheme="minorEastAsia"/>
                <w:szCs w:val="21"/>
              </w:rPr>
            </w:pPr>
            <w:r>
              <w:rPr>
                <w:rFonts w:asciiTheme="minorEastAsia" w:hAnsiTheme="minorEastAsia" w:hint="eastAsia"/>
                <w:szCs w:val="21"/>
              </w:rPr>
              <w:t>18</w:t>
            </w:r>
          </w:p>
        </w:tc>
        <w:tc>
          <w:tcPr>
            <w:tcW w:w="6804" w:type="dxa"/>
            <w:vAlign w:val="center"/>
          </w:tcPr>
          <w:p w:rsidR="004A0F7A" w:rsidRPr="004437DA" w:rsidRDefault="004A0F7A" w:rsidP="004A0F7A">
            <w:pPr>
              <w:rPr>
                <w:rFonts w:asciiTheme="minorEastAsia" w:hAnsiTheme="minorEastAsia"/>
                <w:szCs w:val="21"/>
              </w:rPr>
            </w:pPr>
            <w:r w:rsidRPr="004437DA">
              <w:rPr>
                <w:rFonts w:asciiTheme="minorEastAsia" w:hAnsiTheme="minorEastAsia" w:hint="eastAsia"/>
                <w:szCs w:val="21"/>
              </w:rPr>
              <w:t>付款方式：项目通过验收后</w:t>
            </w:r>
            <w:r w:rsidRPr="004437DA">
              <w:rPr>
                <w:rFonts w:ascii="宋体" w:eastAsia="宋体" w:hAnsi="宋体" w:cs="Times New Roman"/>
                <w:szCs w:val="21"/>
              </w:rPr>
              <w:t>成交供应商</w:t>
            </w:r>
            <w:r>
              <w:rPr>
                <w:rFonts w:asciiTheme="minorEastAsia" w:hAnsiTheme="minorEastAsia" w:hint="eastAsia"/>
                <w:szCs w:val="21"/>
              </w:rPr>
              <w:t>人开具全额</w:t>
            </w:r>
            <w:r w:rsidRPr="004437DA">
              <w:rPr>
                <w:rFonts w:asciiTheme="minorEastAsia" w:hAnsiTheme="minorEastAsia" w:hint="eastAsia"/>
                <w:szCs w:val="21"/>
              </w:rPr>
              <w:t>税务正式</w:t>
            </w:r>
            <w:r>
              <w:rPr>
                <w:rFonts w:asciiTheme="minorEastAsia" w:hAnsiTheme="minorEastAsia" w:hint="eastAsia"/>
                <w:szCs w:val="21"/>
              </w:rPr>
              <w:t>发票，采购人</w:t>
            </w:r>
            <w:r w:rsidRPr="004437DA">
              <w:rPr>
                <w:rFonts w:asciiTheme="minorEastAsia" w:hAnsiTheme="minorEastAsia" w:hint="eastAsia"/>
                <w:szCs w:val="21"/>
              </w:rPr>
              <w:t>自收到</w:t>
            </w:r>
            <w:r>
              <w:rPr>
                <w:rFonts w:asciiTheme="minorEastAsia" w:hAnsiTheme="minorEastAsia" w:hint="eastAsia"/>
                <w:szCs w:val="21"/>
              </w:rPr>
              <w:t>成交供应商</w:t>
            </w:r>
            <w:r w:rsidRPr="004437DA">
              <w:rPr>
                <w:rFonts w:asciiTheme="minorEastAsia" w:hAnsiTheme="minorEastAsia" w:hint="eastAsia"/>
                <w:szCs w:val="21"/>
              </w:rPr>
              <w:t>开具的税务正式发票后10个工作日内以转账方式向成交供应商支付全部合同款。</w:t>
            </w:r>
          </w:p>
        </w:tc>
        <w:tc>
          <w:tcPr>
            <w:tcW w:w="1134" w:type="dxa"/>
            <w:vAlign w:val="center"/>
          </w:tcPr>
          <w:p w:rsidR="004A0F7A" w:rsidRPr="004437DA" w:rsidRDefault="004A0F7A" w:rsidP="004437DA">
            <w:pPr>
              <w:rPr>
                <w:rFonts w:asciiTheme="minorEastAsia" w:hAnsiTheme="minorEastAsia"/>
                <w:szCs w:val="21"/>
              </w:rPr>
            </w:pPr>
          </w:p>
        </w:tc>
      </w:tr>
    </w:tbl>
    <w:p w:rsidR="004437DA" w:rsidRPr="004437DA" w:rsidRDefault="004437DA" w:rsidP="004437DA">
      <w:pPr>
        <w:jc w:val="left"/>
        <w:rPr>
          <w:b/>
          <w:sz w:val="28"/>
          <w:szCs w:val="28"/>
        </w:rPr>
      </w:pPr>
      <w:r w:rsidRPr="004437DA">
        <w:rPr>
          <w:rFonts w:hint="eastAsia"/>
          <w:b/>
          <w:sz w:val="28"/>
          <w:szCs w:val="28"/>
        </w:rPr>
        <w:t>注：供应商应对以上招标要求进行仔细应答，需全部无偏离，才能视为有效投标。（此应答文件应加盖单位公章做为投标组成文件）</w:t>
      </w:r>
    </w:p>
    <w:sectPr w:rsidR="004437DA" w:rsidRPr="004437DA" w:rsidSect="004437DA">
      <w:pgSz w:w="11906" w:h="16838"/>
      <w:pgMar w:top="1440" w:right="1800" w:bottom="1134"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5D9" w:rsidRDefault="006325D9" w:rsidP="00FC339E">
      <w:pPr>
        <w:spacing w:after="0"/>
      </w:pPr>
      <w:r>
        <w:separator/>
      </w:r>
    </w:p>
  </w:endnote>
  <w:endnote w:type="continuationSeparator" w:id="0">
    <w:p w:rsidR="006325D9" w:rsidRDefault="006325D9" w:rsidP="00FC339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5D9" w:rsidRDefault="006325D9" w:rsidP="00FC339E">
      <w:pPr>
        <w:spacing w:after="0"/>
      </w:pPr>
      <w:r>
        <w:separator/>
      </w:r>
    </w:p>
  </w:footnote>
  <w:footnote w:type="continuationSeparator" w:id="0">
    <w:p w:rsidR="006325D9" w:rsidRDefault="006325D9" w:rsidP="00FC339E">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437DA"/>
    <w:rsid w:val="004437DA"/>
    <w:rsid w:val="004A0F7A"/>
    <w:rsid w:val="005D6D96"/>
    <w:rsid w:val="00603744"/>
    <w:rsid w:val="006325D9"/>
    <w:rsid w:val="00AD51CA"/>
    <w:rsid w:val="00FC33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1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437DA"/>
    <w:rPr>
      <w:b/>
    </w:rPr>
  </w:style>
  <w:style w:type="table" w:styleId="a4">
    <w:name w:val="Table Grid"/>
    <w:basedOn w:val="a1"/>
    <w:uiPriority w:val="59"/>
    <w:rsid w:val="004437D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semiHidden/>
    <w:unhideWhenUsed/>
    <w:rsid w:val="00FC33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FC339E"/>
    <w:rPr>
      <w:sz w:val="18"/>
      <w:szCs w:val="18"/>
    </w:rPr>
  </w:style>
  <w:style w:type="paragraph" w:styleId="a6">
    <w:name w:val="footer"/>
    <w:basedOn w:val="a"/>
    <w:link w:val="Char0"/>
    <w:uiPriority w:val="99"/>
    <w:semiHidden/>
    <w:unhideWhenUsed/>
    <w:rsid w:val="00FC339E"/>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FC339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4851</TotalTime>
  <Pages>2</Pages>
  <Words>308</Words>
  <Characters>1761</Characters>
  <Application>Microsoft Office Word</Application>
  <DocSecurity>0</DocSecurity>
  <Lines>14</Lines>
  <Paragraphs>4</Paragraphs>
  <ScaleCrop>false</ScaleCrop>
  <Company/>
  <LinksUpToDate>false</LinksUpToDate>
  <CharactersWithSpaces>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2021-08-12T09:11:00Z</dcterms:created>
  <dcterms:modified xsi:type="dcterms:W3CDTF">2021-08-17T03:02:00Z</dcterms:modified>
</cp:coreProperties>
</file>