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r>
        <w:rPr>
          <w:rFonts w:eastAsia="黑体"/>
          <w:sz w:val="48"/>
          <w:szCs w:val="48"/>
        </w:rPr>
        <w:drawing>
          <wp:anchor distT="0" distB="0" distL="114300" distR="114300" simplePos="0" relativeHeight="251659264" behindDoc="0" locked="0" layoutInCell="1" allowOverlap="1">
            <wp:simplePos x="0" y="0"/>
            <wp:positionH relativeFrom="column">
              <wp:posOffset>2060575</wp:posOffset>
            </wp:positionH>
            <wp:positionV relativeFrom="paragraph">
              <wp:posOffset>201295</wp:posOffset>
            </wp:positionV>
            <wp:extent cx="1991995" cy="1991995"/>
            <wp:effectExtent l="0" t="0" r="8255" b="8255"/>
            <wp:wrapNone/>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1991995" cy="1991995"/>
                    </a:xfrm>
                    <a:prstGeom prst="rect">
                      <a:avLst/>
                    </a:prstGeom>
                  </pic:spPr>
                </pic:pic>
              </a:graphicData>
            </a:graphic>
          </wp:anchor>
        </w:drawing>
      </w:r>
    </w:p>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r>
        <w:rPr>
          <w:rFonts w:hint="eastAsia" w:eastAsia="黑体"/>
          <w:sz w:val="48"/>
          <w:szCs w:val="48"/>
          <w:lang w:bidi="ar"/>
        </w:rPr>
        <w:t xml:space="preserve"> </w:t>
      </w:r>
    </w:p>
    <w:p>
      <w:pPr>
        <w:spacing w:line="360" w:lineRule="auto"/>
        <w:jc w:val="center"/>
        <w:rPr>
          <w:rFonts w:hint="default" w:ascii="方正小标宋简体" w:hAnsi="方正小标宋简体" w:eastAsia="方正小标宋简体" w:cs="方正小标宋简体"/>
          <w:w w:val="95"/>
          <w:sz w:val="72"/>
          <w:szCs w:val="52"/>
          <w:lang w:val="en" w:bidi="ar"/>
        </w:rPr>
      </w:pPr>
      <w:r>
        <w:rPr>
          <w:rFonts w:hint="default" w:ascii="方正小标宋简体" w:hAnsi="方正小标宋简体" w:eastAsia="方正小标宋简体" w:cs="方正小标宋简体"/>
          <w:w w:val="95"/>
          <w:sz w:val="72"/>
          <w:szCs w:val="52"/>
          <w:lang w:val="en" w:bidi="ar"/>
        </w:rPr>
        <w:t>福建省森林消防总队</w:t>
      </w:r>
    </w:p>
    <w:p>
      <w:pPr>
        <w:spacing w:line="360" w:lineRule="auto"/>
        <w:jc w:val="center"/>
        <w:rPr>
          <w:rFonts w:ascii="方正小标宋简体" w:hAnsi="方正小标宋简体" w:eastAsia="方正小标宋简体" w:cs="方正小标宋简体"/>
          <w:w w:val="95"/>
          <w:sz w:val="72"/>
          <w:szCs w:val="52"/>
          <w:lang w:bidi="ar"/>
        </w:rPr>
      </w:pPr>
      <w:r>
        <w:rPr>
          <w:rFonts w:hint="eastAsia" w:ascii="方正小标宋简体" w:hAnsi="方正小标宋简体" w:eastAsia="方正小标宋简体" w:cs="方正小标宋简体"/>
          <w:w w:val="95"/>
          <w:sz w:val="72"/>
          <w:szCs w:val="52"/>
          <w:lang w:bidi="ar"/>
        </w:rPr>
        <w:t>202</w:t>
      </w:r>
      <w:r>
        <w:rPr>
          <w:rFonts w:hint="eastAsia" w:ascii="方正小标宋简体" w:hAnsi="方正小标宋简体" w:eastAsia="方正小标宋简体" w:cs="方正小标宋简体"/>
          <w:w w:val="95"/>
          <w:sz w:val="72"/>
          <w:szCs w:val="52"/>
          <w:lang w:val="en-US" w:eastAsia="zh-CN" w:bidi="ar"/>
        </w:rPr>
        <w:t>1</w:t>
      </w:r>
      <w:r>
        <w:rPr>
          <w:rFonts w:hint="eastAsia" w:ascii="方正小标宋简体" w:hAnsi="方正小标宋简体" w:eastAsia="方正小标宋简体" w:cs="方正小标宋简体"/>
          <w:w w:val="95"/>
          <w:sz w:val="72"/>
          <w:szCs w:val="52"/>
          <w:lang w:bidi="ar"/>
        </w:rPr>
        <w:t>年度部门决算</w:t>
      </w:r>
    </w:p>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p>
    <w:p>
      <w:pPr>
        <w:ind w:firstLine="960" w:firstLineChars="200"/>
        <w:rPr>
          <w:rFonts w:eastAsia="黑体"/>
          <w:sz w:val="48"/>
          <w:szCs w:val="48"/>
          <w:lang w:bidi="ar"/>
        </w:rPr>
      </w:pPr>
    </w:p>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p>
    <w:p>
      <w:pPr>
        <w:spacing w:line="578" w:lineRule="exact"/>
        <w:ind w:firstLine="960" w:firstLineChars="200"/>
        <w:rPr>
          <w:rFonts w:eastAsia="黑体"/>
          <w:sz w:val="48"/>
          <w:szCs w:val="48"/>
          <w:lang w:bidi="ar"/>
        </w:rPr>
      </w:pPr>
      <w:r>
        <w:rPr>
          <w:rFonts w:eastAsia="黑体"/>
          <w:sz w:val="48"/>
          <w:szCs w:val="48"/>
        </w:rPr>
        <w:drawing>
          <wp:anchor distT="0" distB="0" distL="114300" distR="114300" simplePos="0" relativeHeight="251727872" behindDoc="0" locked="0" layoutInCell="1" allowOverlap="1">
            <wp:simplePos x="0" y="0"/>
            <wp:positionH relativeFrom="column">
              <wp:posOffset>-818515</wp:posOffset>
            </wp:positionH>
            <wp:positionV relativeFrom="paragraph">
              <wp:posOffset>325755</wp:posOffset>
            </wp:positionV>
            <wp:extent cx="7577455" cy="1546225"/>
            <wp:effectExtent l="0" t="0" r="4445" b="0"/>
            <wp:wrapNone/>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8" cstate="print">
                      <a:extLst>
                        <a:ext uri="{28A0092B-C50C-407E-A947-70E740481C1C}">
                          <a14:useLocalDpi xmlns:a14="http://schemas.microsoft.com/office/drawing/2010/main" val="false"/>
                        </a:ext>
                      </a:extLst>
                    </a:blip>
                    <a:stretch>
                      <a:fillRect/>
                    </a:stretch>
                  </pic:blipFill>
                  <pic:spPr>
                    <a:xfrm>
                      <a:off x="0" y="0"/>
                      <a:ext cx="7577455" cy="1546225"/>
                    </a:xfrm>
                    <a:prstGeom prst="rect">
                      <a:avLst/>
                    </a:prstGeom>
                  </pic:spPr>
                </pic:pic>
              </a:graphicData>
            </a:graphic>
          </wp:anchor>
        </w:drawing>
      </w:r>
    </w:p>
    <w:p>
      <w:pPr>
        <w:spacing w:line="578" w:lineRule="exact"/>
        <w:ind w:firstLine="960" w:firstLineChars="200"/>
        <w:rPr>
          <w:rFonts w:eastAsia="黑体"/>
          <w:sz w:val="48"/>
          <w:szCs w:val="48"/>
          <w:lang w:bidi="ar"/>
        </w:rPr>
        <w:sectPr>
          <w:footerReference r:id="rId3" w:type="default"/>
          <w:pgSz w:w="11906" w:h="16838"/>
          <w:pgMar w:top="2098" w:right="991" w:bottom="1985" w:left="1276" w:header="851" w:footer="992" w:gutter="0"/>
          <w:pgNumType w:fmt="numberInDash"/>
          <w:cols w:space="0" w:num="1"/>
          <w:docGrid w:type="lines" w:linePitch="312" w:charSpace="0"/>
        </w:sectPr>
      </w:pPr>
    </w:p>
    <w:p/>
    <w:p>
      <w:pPr>
        <w:pStyle w:val="12"/>
        <w:widowControl/>
        <w:spacing w:line="578" w:lineRule="exact"/>
        <w:jc w:val="center"/>
        <w:rPr>
          <w:rFonts w:ascii="方正小标宋简体" w:hAnsi="Times New Roman" w:eastAsia="方正小标宋简体"/>
          <w:sz w:val="44"/>
          <w:szCs w:val="44"/>
        </w:rPr>
      </w:pPr>
      <w:r>
        <w:rPr>
          <w:rFonts w:hint="eastAsia" w:ascii="方正小标宋简体" w:hAnsi="Times New Roman" w:eastAsia="方正小标宋简体"/>
          <w:sz w:val="44"/>
          <w:szCs w:val="44"/>
        </w:rPr>
        <w:t>目  录</w:t>
      </w:r>
    </w:p>
    <w:p>
      <w:pPr>
        <w:spacing w:line="578" w:lineRule="exact"/>
        <w:ind w:firstLine="640" w:firstLineChars="200"/>
        <w:rPr>
          <w:rFonts w:ascii="方正黑体简体" w:eastAsia="方正黑体简体"/>
          <w:sz w:val="32"/>
        </w:rPr>
      </w:pPr>
    </w:p>
    <w:p>
      <w:pPr>
        <w:pStyle w:val="12"/>
        <w:ind w:firstLine="640" w:firstLineChars="200"/>
        <w:rPr>
          <w:rFonts w:ascii="Times New Roman" w:hAnsi="Times New Roman"/>
        </w:rPr>
      </w:pPr>
      <w:r>
        <w:rPr>
          <w:rFonts w:ascii="Times New Roman" w:hAnsi="Times New Roman" w:eastAsia="方正黑体简体"/>
          <w:sz w:val="32"/>
        </w:rPr>
        <w:t xml:space="preserve">第一部分 </w:t>
      </w:r>
      <w:r>
        <w:rPr>
          <w:rFonts w:hint="default" w:ascii="Times New Roman" w:hAnsi="Times New Roman" w:eastAsia="方正黑体简体"/>
          <w:sz w:val="32"/>
          <w:lang w:val="en"/>
        </w:rPr>
        <w:t>福建省森林消防总队</w:t>
      </w:r>
      <w:r>
        <w:rPr>
          <w:rFonts w:ascii="Times New Roman" w:hAnsi="Times New Roman" w:eastAsia="方正黑体简体"/>
          <w:sz w:val="32"/>
        </w:rPr>
        <w:t>概况</w:t>
      </w:r>
      <w:r>
        <w:rPr>
          <w:rFonts w:ascii="Times New Roman" w:hAnsi="Times New Roman"/>
        </w:rPr>
        <w:ptab w:relativeTo="margin" w:alignment="right" w:leader="dot"/>
      </w:r>
      <w:r>
        <w:rPr>
          <w:rFonts w:ascii="Times New Roman" w:hAnsi="Times New Roman" w:eastAsia="方正楷体简体"/>
          <w:sz w:val="32"/>
        </w:rPr>
        <w:t>1</w:t>
      </w:r>
    </w:p>
    <w:p>
      <w:pPr>
        <w:spacing w:line="578" w:lineRule="exact"/>
        <w:ind w:firstLine="640" w:firstLineChars="200"/>
        <w:rPr>
          <w:rFonts w:eastAsia="方正楷体简体"/>
          <w:sz w:val="32"/>
        </w:rPr>
      </w:pPr>
      <w:r>
        <w:rPr>
          <w:rFonts w:eastAsia="方正楷体简体"/>
          <w:sz w:val="32"/>
        </w:rPr>
        <w:t>一、</w:t>
      </w:r>
      <w:r>
        <w:rPr>
          <w:rFonts w:hint="eastAsia" w:eastAsia="方正楷体简体"/>
          <w:sz w:val="32"/>
        </w:rPr>
        <w:t>部门职责</w:t>
      </w:r>
      <w:r>
        <w:ptab w:relativeTo="margin" w:alignment="right" w:leader="dot"/>
      </w:r>
      <w:r>
        <w:rPr>
          <w:rFonts w:eastAsia="方正楷体简体"/>
          <w:sz w:val="32"/>
        </w:rPr>
        <w:t>2</w:t>
      </w:r>
    </w:p>
    <w:p>
      <w:pPr>
        <w:spacing w:line="578" w:lineRule="exact"/>
        <w:ind w:firstLine="640" w:firstLineChars="200"/>
        <w:rPr>
          <w:rFonts w:eastAsia="方正楷体简体"/>
          <w:sz w:val="32"/>
        </w:rPr>
      </w:pPr>
      <w:r>
        <w:rPr>
          <w:rFonts w:eastAsia="方正楷体简体"/>
          <w:sz w:val="32"/>
        </w:rPr>
        <w:t>二、</w:t>
      </w:r>
      <w:r>
        <w:rPr>
          <w:rFonts w:hint="eastAsia" w:eastAsia="方正楷体简体"/>
          <w:sz w:val="32"/>
        </w:rPr>
        <w:t>机构设置</w:t>
      </w:r>
      <w:r>
        <w:ptab w:relativeTo="margin" w:alignment="right" w:leader="dot"/>
      </w:r>
      <w:r>
        <w:rPr>
          <w:rFonts w:eastAsia="方正楷体简体"/>
          <w:sz w:val="32"/>
        </w:rPr>
        <w:t>2</w:t>
      </w:r>
    </w:p>
    <w:p>
      <w:pPr>
        <w:spacing w:line="578" w:lineRule="exact"/>
        <w:ind w:firstLine="640" w:firstLineChars="200"/>
        <w:rPr>
          <w:rFonts w:eastAsia="方正黑体简体"/>
          <w:sz w:val="32"/>
        </w:rPr>
      </w:pPr>
      <w:r>
        <w:rPr>
          <w:rFonts w:eastAsia="方正黑体简体"/>
          <w:sz w:val="32"/>
        </w:rPr>
        <w:t xml:space="preserve">第二部分 </w:t>
      </w:r>
      <w:r>
        <w:rPr>
          <w:rFonts w:hint="eastAsia" w:eastAsia="方正黑体简体"/>
          <w:sz w:val="32"/>
          <w:lang w:eastAsia="zh-CN"/>
        </w:rPr>
        <w:t>2021年度</w:t>
      </w:r>
      <w:r>
        <w:rPr>
          <w:rFonts w:eastAsia="方正黑体简体"/>
          <w:sz w:val="32"/>
        </w:rPr>
        <w:t>部门</w:t>
      </w:r>
      <w:r>
        <w:rPr>
          <w:rFonts w:hint="eastAsia" w:eastAsia="方正黑体简体"/>
          <w:sz w:val="32"/>
        </w:rPr>
        <w:t>决算</w:t>
      </w:r>
      <w:r>
        <w:rPr>
          <w:rFonts w:eastAsia="方正黑体简体"/>
          <w:sz w:val="32"/>
        </w:rPr>
        <w:t>表</w:t>
      </w:r>
      <w:r>
        <w:ptab w:relativeTo="margin" w:alignment="right" w:leader="dot"/>
      </w:r>
      <w:r>
        <w:rPr>
          <w:rFonts w:eastAsia="方正楷体简体"/>
          <w:sz w:val="32"/>
        </w:rPr>
        <w:t>3</w:t>
      </w:r>
    </w:p>
    <w:p>
      <w:pPr>
        <w:spacing w:line="578" w:lineRule="exact"/>
        <w:ind w:firstLine="640" w:firstLineChars="200"/>
        <w:rPr>
          <w:rFonts w:eastAsia="方正楷体简体"/>
          <w:sz w:val="32"/>
        </w:rPr>
      </w:pPr>
      <w:r>
        <w:rPr>
          <w:rFonts w:eastAsia="方正楷体简体"/>
          <w:sz w:val="32"/>
        </w:rPr>
        <w:t>一、</w:t>
      </w:r>
      <w:r>
        <w:rPr>
          <w:rFonts w:hint="eastAsia" w:eastAsia="方正楷体简体"/>
          <w:sz w:val="32"/>
        </w:rPr>
        <w:t>收入支出决算</w:t>
      </w:r>
      <w:r>
        <w:rPr>
          <w:rFonts w:eastAsia="方正楷体简体"/>
          <w:sz w:val="32"/>
        </w:rPr>
        <w:t>总表</w:t>
      </w:r>
      <w:r>
        <w:ptab w:relativeTo="margin" w:alignment="right" w:leader="dot"/>
      </w:r>
      <w:r>
        <w:rPr>
          <w:rFonts w:eastAsia="方正楷体简体"/>
          <w:sz w:val="32"/>
        </w:rPr>
        <w:t>4</w:t>
      </w:r>
    </w:p>
    <w:p>
      <w:pPr>
        <w:spacing w:line="578" w:lineRule="exact"/>
        <w:ind w:firstLine="640" w:firstLineChars="200"/>
        <w:rPr>
          <w:rFonts w:eastAsia="方正楷体简体"/>
          <w:sz w:val="32"/>
        </w:rPr>
      </w:pPr>
      <w:r>
        <w:rPr>
          <w:rFonts w:eastAsia="方正楷体简体"/>
          <w:sz w:val="32"/>
        </w:rPr>
        <w:t>二、</w:t>
      </w:r>
      <w:r>
        <w:rPr>
          <w:rFonts w:hint="eastAsia" w:eastAsia="方正楷体简体"/>
          <w:sz w:val="32"/>
        </w:rPr>
        <w:t>收入决算表</w:t>
      </w:r>
      <w:r>
        <w:ptab w:relativeTo="margin" w:alignment="right" w:leader="dot"/>
      </w:r>
      <w:r>
        <w:rPr>
          <w:rFonts w:eastAsia="方正楷体简体"/>
          <w:sz w:val="32"/>
        </w:rPr>
        <w:t>5</w:t>
      </w:r>
    </w:p>
    <w:p>
      <w:pPr>
        <w:spacing w:line="578" w:lineRule="exact"/>
        <w:ind w:firstLine="640" w:firstLineChars="200"/>
        <w:rPr>
          <w:rFonts w:eastAsia="方正楷体简体"/>
          <w:sz w:val="32"/>
        </w:rPr>
      </w:pPr>
      <w:r>
        <w:rPr>
          <w:rFonts w:eastAsia="方正楷体简体"/>
          <w:sz w:val="32"/>
        </w:rPr>
        <w:t>三、</w:t>
      </w:r>
      <w:r>
        <w:rPr>
          <w:rFonts w:hint="eastAsia" w:eastAsia="方正楷体简体"/>
          <w:sz w:val="32"/>
        </w:rPr>
        <w:t>支出决算表</w:t>
      </w:r>
      <w:r>
        <w:ptab w:relativeTo="margin" w:alignment="right" w:leader="dot"/>
      </w:r>
      <w:r>
        <w:rPr>
          <w:rFonts w:eastAsia="方正楷体简体"/>
          <w:sz w:val="32"/>
        </w:rPr>
        <w:t>6</w:t>
      </w:r>
    </w:p>
    <w:p>
      <w:pPr>
        <w:spacing w:line="578" w:lineRule="exact"/>
        <w:ind w:firstLine="640" w:firstLineChars="200"/>
        <w:rPr>
          <w:rFonts w:eastAsia="方正楷体简体"/>
          <w:sz w:val="32"/>
        </w:rPr>
      </w:pPr>
      <w:r>
        <w:rPr>
          <w:rFonts w:eastAsia="方正楷体简体"/>
          <w:sz w:val="32"/>
        </w:rPr>
        <w:t>四、</w:t>
      </w:r>
      <w:r>
        <w:rPr>
          <w:rFonts w:hint="eastAsia" w:eastAsia="方正楷体简体"/>
          <w:sz w:val="32"/>
        </w:rPr>
        <w:t>财政拨款收入支出决算总表</w:t>
      </w:r>
      <w:r>
        <w:ptab w:relativeTo="margin" w:alignment="right" w:leader="dot"/>
      </w:r>
      <w:r>
        <w:rPr>
          <w:rFonts w:eastAsia="方正楷体简体"/>
          <w:sz w:val="32"/>
        </w:rPr>
        <w:t>7</w:t>
      </w:r>
    </w:p>
    <w:p>
      <w:pPr>
        <w:spacing w:line="578" w:lineRule="exact"/>
        <w:ind w:firstLine="640" w:firstLineChars="200"/>
        <w:rPr>
          <w:rFonts w:eastAsia="方正楷体简体"/>
          <w:sz w:val="32"/>
        </w:rPr>
      </w:pPr>
      <w:r>
        <w:rPr>
          <w:rFonts w:eastAsia="方正楷体简体"/>
          <w:sz w:val="32"/>
        </w:rPr>
        <w:t>五、</w:t>
      </w:r>
      <w:r>
        <w:rPr>
          <w:rFonts w:hint="eastAsia" w:eastAsia="方正楷体简体"/>
          <w:sz w:val="32"/>
        </w:rPr>
        <w:t>一般公共预算财政拨款支出决算表</w:t>
      </w:r>
      <w:r>
        <w:ptab w:relativeTo="margin" w:alignment="right" w:leader="dot"/>
      </w:r>
      <w:r>
        <w:rPr>
          <w:rFonts w:eastAsia="方正楷体简体"/>
          <w:sz w:val="32"/>
        </w:rPr>
        <w:t>8</w:t>
      </w:r>
    </w:p>
    <w:p>
      <w:pPr>
        <w:spacing w:line="578" w:lineRule="exact"/>
        <w:ind w:firstLine="640" w:firstLineChars="200"/>
        <w:rPr>
          <w:rFonts w:eastAsia="方正楷体简体"/>
          <w:sz w:val="32"/>
        </w:rPr>
      </w:pPr>
      <w:r>
        <w:rPr>
          <w:rFonts w:eastAsia="方正楷体简体"/>
          <w:sz w:val="32"/>
        </w:rPr>
        <w:t>六、</w:t>
      </w:r>
      <w:r>
        <w:rPr>
          <w:rFonts w:hint="eastAsia" w:eastAsia="方正楷体简体"/>
          <w:sz w:val="32"/>
        </w:rPr>
        <w:t>一般公共预算财政拨款基本支出决算表</w:t>
      </w:r>
      <w:r>
        <w:ptab w:relativeTo="margin" w:alignment="right" w:leader="dot"/>
      </w:r>
      <w:r>
        <w:rPr>
          <w:rFonts w:eastAsia="方正楷体简体"/>
          <w:sz w:val="32"/>
        </w:rPr>
        <w:t>9</w:t>
      </w:r>
    </w:p>
    <w:p>
      <w:pPr>
        <w:spacing w:line="578" w:lineRule="exact"/>
        <w:ind w:firstLine="640" w:firstLineChars="200"/>
        <w:rPr>
          <w:rFonts w:eastAsia="方正楷体简体"/>
          <w:sz w:val="32"/>
        </w:rPr>
      </w:pPr>
      <w:r>
        <w:rPr>
          <w:rFonts w:eastAsia="方正楷体简体"/>
          <w:sz w:val="32"/>
        </w:rPr>
        <w:t>七、</w:t>
      </w:r>
      <w:r>
        <w:rPr>
          <w:rFonts w:hint="eastAsia" w:eastAsia="方正楷体简体"/>
          <w:sz w:val="32"/>
        </w:rPr>
        <w:t>一般公共预算财政拨款“三公”经费支出决算表</w:t>
      </w:r>
      <w:r>
        <w:ptab w:relativeTo="margin" w:alignment="right" w:leader="dot"/>
      </w:r>
      <w:r>
        <w:rPr>
          <w:rFonts w:eastAsia="方正楷体简体"/>
          <w:sz w:val="32"/>
        </w:rPr>
        <w:t>10</w:t>
      </w:r>
    </w:p>
    <w:p>
      <w:pPr>
        <w:spacing w:line="578" w:lineRule="exact"/>
        <w:ind w:firstLine="640" w:firstLineChars="200"/>
        <w:rPr>
          <w:rFonts w:eastAsia="方正楷体简体"/>
          <w:sz w:val="32"/>
        </w:rPr>
      </w:pPr>
      <w:r>
        <w:rPr>
          <w:rFonts w:eastAsia="方正楷体简体"/>
          <w:sz w:val="32"/>
        </w:rPr>
        <w:t>八、</w:t>
      </w:r>
      <w:r>
        <w:rPr>
          <w:rFonts w:hint="eastAsia" w:eastAsia="方正楷体简体"/>
          <w:sz w:val="32"/>
        </w:rPr>
        <w:t>政府性基金预算财政拨款收入支出决算表</w:t>
      </w:r>
      <w:r>
        <w:ptab w:relativeTo="margin" w:alignment="right" w:leader="dot"/>
      </w:r>
      <w:r>
        <w:rPr>
          <w:rFonts w:eastAsia="方正楷体简体"/>
          <w:sz w:val="32"/>
        </w:rPr>
        <w:t>11</w:t>
      </w:r>
    </w:p>
    <w:p>
      <w:pPr>
        <w:spacing w:line="578" w:lineRule="exact"/>
        <w:ind w:firstLine="640" w:firstLineChars="200"/>
        <w:rPr>
          <w:rFonts w:eastAsia="方正楷体简体"/>
          <w:sz w:val="32"/>
        </w:rPr>
      </w:pPr>
      <w:r>
        <w:rPr>
          <w:rFonts w:hint="eastAsia" w:eastAsia="方正楷体简体"/>
          <w:sz w:val="32"/>
        </w:rPr>
        <w:t>九、国有资本经营预算财政拨款支出决算表</w:t>
      </w:r>
      <w:r>
        <w:ptab w:relativeTo="margin" w:alignment="right" w:leader="dot"/>
      </w:r>
      <w:r>
        <w:rPr>
          <w:rFonts w:eastAsia="方正楷体简体"/>
          <w:sz w:val="32"/>
        </w:rPr>
        <w:t>1</w:t>
      </w:r>
      <w:r>
        <w:rPr>
          <w:rFonts w:hint="eastAsia" w:eastAsia="方正楷体简体"/>
          <w:sz w:val="32"/>
        </w:rPr>
        <w:t>2</w:t>
      </w:r>
    </w:p>
    <w:p>
      <w:pPr>
        <w:spacing w:line="578" w:lineRule="exact"/>
        <w:ind w:firstLine="640" w:firstLineChars="200"/>
        <w:rPr>
          <w:rFonts w:eastAsia="方正楷体简体"/>
          <w:sz w:val="32"/>
        </w:rPr>
      </w:pPr>
      <w:r>
        <w:rPr>
          <w:rFonts w:eastAsia="方正黑体简体"/>
          <w:sz w:val="32"/>
        </w:rPr>
        <w:t xml:space="preserve">第三部分 </w:t>
      </w:r>
      <w:r>
        <w:rPr>
          <w:rFonts w:hint="eastAsia" w:eastAsia="方正黑体简体"/>
          <w:sz w:val="32"/>
        </w:rPr>
        <w:t>202</w:t>
      </w:r>
      <w:r>
        <w:rPr>
          <w:rFonts w:hint="eastAsia" w:eastAsia="方正黑体简体"/>
          <w:sz w:val="32"/>
          <w:lang w:val="en-US" w:eastAsia="zh-CN"/>
        </w:rPr>
        <w:t>1</w:t>
      </w:r>
      <w:r>
        <w:rPr>
          <w:rFonts w:hint="eastAsia" w:eastAsia="方正黑体简体"/>
          <w:sz w:val="32"/>
        </w:rPr>
        <w:t>年度部门决算情况说明</w:t>
      </w:r>
      <w:r>
        <w:ptab w:relativeTo="margin" w:alignment="right" w:leader="dot"/>
      </w:r>
      <w:r>
        <w:rPr>
          <w:rFonts w:eastAsia="方正楷体简体"/>
          <w:sz w:val="32"/>
        </w:rPr>
        <w:t>1</w:t>
      </w:r>
      <w:r>
        <w:rPr>
          <w:rFonts w:hint="eastAsia" w:eastAsia="方正楷体简体"/>
          <w:sz w:val="32"/>
        </w:rPr>
        <w:t>3</w:t>
      </w:r>
    </w:p>
    <w:p>
      <w:pPr>
        <w:spacing w:line="578" w:lineRule="exact"/>
        <w:ind w:firstLine="640" w:firstLineChars="200"/>
        <w:rPr>
          <w:rFonts w:eastAsia="方正楷体简体"/>
          <w:sz w:val="32"/>
        </w:rPr>
      </w:pPr>
      <w:r>
        <w:rPr>
          <w:rFonts w:hint="eastAsia" w:eastAsia="方正楷体简体"/>
          <w:sz w:val="32"/>
        </w:rPr>
        <w:t>一、收入支出决算总体情况说明</w:t>
      </w:r>
      <w:r>
        <w:ptab w:relativeTo="margin" w:alignment="right" w:leader="dot"/>
      </w:r>
      <w:r>
        <w:rPr>
          <w:rFonts w:hint="eastAsia" w:eastAsia="方正楷体简体"/>
          <w:sz w:val="32"/>
        </w:rPr>
        <w:t>14</w:t>
      </w:r>
    </w:p>
    <w:p>
      <w:pPr>
        <w:spacing w:line="578" w:lineRule="exact"/>
        <w:ind w:firstLine="640" w:firstLineChars="200"/>
        <w:rPr>
          <w:rFonts w:eastAsia="方正楷体简体"/>
          <w:sz w:val="32"/>
        </w:rPr>
      </w:pPr>
      <w:r>
        <w:rPr>
          <w:rFonts w:hint="eastAsia" w:eastAsia="方正楷体简体"/>
          <w:sz w:val="32"/>
        </w:rPr>
        <w:t>二、收入决算情况说明</w:t>
      </w:r>
      <w:r>
        <w:ptab w:relativeTo="margin" w:alignment="right" w:leader="dot"/>
      </w:r>
      <w:r>
        <w:rPr>
          <w:rFonts w:hint="eastAsia" w:eastAsia="方正楷体简体"/>
          <w:sz w:val="32"/>
        </w:rPr>
        <w:t>14</w:t>
      </w:r>
    </w:p>
    <w:p>
      <w:pPr>
        <w:spacing w:line="578" w:lineRule="exact"/>
        <w:ind w:firstLine="640" w:firstLineChars="200"/>
        <w:rPr>
          <w:rFonts w:eastAsia="方正楷体简体"/>
          <w:sz w:val="32"/>
        </w:rPr>
      </w:pPr>
      <w:r>
        <w:rPr>
          <w:rFonts w:hint="eastAsia" w:eastAsia="方正楷体简体"/>
          <w:sz w:val="32"/>
        </w:rPr>
        <w:t>三、支出决算情况说明</w:t>
      </w:r>
      <w:r>
        <w:ptab w:relativeTo="margin" w:alignment="right" w:leader="dot"/>
      </w:r>
      <w:r>
        <w:rPr>
          <w:rFonts w:hint="eastAsia" w:eastAsia="方正楷体简体"/>
          <w:sz w:val="32"/>
        </w:rPr>
        <w:t>15</w:t>
      </w:r>
    </w:p>
    <w:p>
      <w:pPr>
        <w:spacing w:line="578" w:lineRule="exact"/>
        <w:ind w:firstLine="640" w:firstLineChars="200"/>
        <w:rPr>
          <w:rFonts w:eastAsia="方正楷体简体"/>
          <w:sz w:val="32"/>
        </w:rPr>
      </w:pPr>
      <w:r>
        <w:rPr>
          <w:rFonts w:hint="eastAsia" w:eastAsia="方正楷体简体"/>
          <w:sz w:val="32"/>
        </w:rPr>
        <w:t>四、财政拨款收入支出决算总体情况说明</w:t>
      </w:r>
      <w:r>
        <w:ptab w:relativeTo="margin" w:alignment="right" w:leader="dot"/>
      </w:r>
      <w:r>
        <w:rPr>
          <w:rFonts w:hint="eastAsia" w:eastAsia="方正楷体简体"/>
          <w:sz w:val="32"/>
        </w:rPr>
        <w:t>16</w:t>
      </w:r>
    </w:p>
    <w:p>
      <w:pPr>
        <w:spacing w:line="578" w:lineRule="exact"/>
        <w:ind w:firstLine="640" w:firstLineChars="200"/>
        <w:rPr>
          <w:rFonts w:eastAsia="方正楷体简体"/>
        </w:rPr>
      </w:pPr>
      <w:r>
        <w:rPr>
          <w:rFonts w:hint="eastAsia" w:eastAsia="方正楷体简体"/>
          <w:sz w:val="32"/>
        </w:rPr>
        <w:t>五、一般公共预算财政拨款支出决算情况说明</w:t>
      </w:r>
      <w:r>
        <w:ptab w:relativeTo="margin" w:alignment="right" w:leader="dot"/>
      </w:r>
      <w:r>
        <w:rPr>
          <w:rFonts w:hint="eastAsia" w:eastAsia="方正楷体简体"/>
          <w:sz w:val="32"/>
        </w:rPr>
        <w:t>16</w:t>
      </w:r>
    </w:p>
    <w:p>
      <w:pPr>
        <w:spacing w:line="578" w:lineRule="exact"/>
        <w:ind w:firstLine="640" w:firstLineChars="200"/>
        <w:rPr>
          <w:rFonts w:hint="eastAsia" w:eastAsia="方正楷体简体"/>
          <w:sz w:val="32"/>
          <w:lang w:eastAsia="zh-CN"/>
        </w:rPr>
      </w:pPr>
      <w:r>
        <w:rPr>
          <w:rFonts w:hint="eastAsia" w:eastAsia="方正楷体简体"/>
          <w:sz w:val="32"/>
        </w:rPr>
        <w:t>六、一般公共预算财政拨款基本支出决算情况说明</w:t>
      </w:r>
      <w:r>
        <w:ptab w:relativeTo="margin" w:alignment="right" w:leader="dot"/>
      </w:r>
      <w:r>
        <w:rPr>
          <w:rFonts w:hint="eastAsia" w:eastAsia="方正楷体简体"/>
          <w:sz w:val="32"/>
        </w:rPr>
        <w:t>1</w:t>
      </w:r>
      <w:r>
        <w:rPr>
          <w:rFonts w:hint="eastAsia" w:eastAsia="方正楷体简体"/>
          <w:sz w:val="32"/>
          <w:lang w:val="en-US" w:eastAsia="zh-CN"/>
        </w:rPr>
        <w:t>8</w:t>
      </w:r>
    </w:p>
    <w:p>
      <w:pPr>
        <w:spacing w:line="578" w:lineRule="exact"/>
        <w:ind w:firstLine="640" w:firstLineChars="200"/>
        <w:rPr>
          <w:rFonts w:hint="default" w:eastAsia="宋体"/>
          <w:sz w:val="32"/>
          <w:lang w:val="en-US" w:eastAsia="zh-CN"/>
        </w:rPr>
      </w:pPr>
      <w:r>
        <w:rPr>
          <w:rFonts w:hint="eastAsia" w:eastAsia="方正楷体简体"/>
          <w:sz w:val="32"/>
        </w:rPr>
        <w:t>七、一般公共预算财政拨款“三公”经费支出决算情况说明</w:t>
      </w:r>
      <w:r>
        <w:ptab w:relativeTo="margin" w:alignment="right" w:leader="dot"/>
      </w:r>
      <w:r>
        <w:rPr>
          <w:rFonts w:hint="eastAsia" w:eastAsia="方正楷体简体"/>
          <w:sz w:val="32"/>
          <w:lang w:val="en-US" w:eastAsia="zh-CN"/>
        </w:rPr>
        <w:t>19</w:t>
      </w:r>
    </w:p>
    <w:p>
      <w:pPr>
        <w:spacing w:line="578" w:lineRule="exact"/>
        <w:ind w:firstLine="640" w:firstLineChars="200"/>
        <w:rPr>
          <w:rFonts w:hint="default" w:eastAsia="宋体"/>
          <w:sz w:val="32"/>
          <w:lang w:val="en-US" w:eastAsia="zh-CN"/>
        </w:rPr>
      </w:pPr>
      <w:r>
        <w:rPr>
          <w:rFonts w:hint="eastAsia" w:eastAsia="方正楷体简体"/>
          <w:sz w:val="32"/>
        </w:rPr>
        <w:t>八、机关运行经费支出</w:t>
      </w:r>
      <w:r>
        <w:rPr>
          <w:rFonts w:hint="eastAsia" w:eastAsia="方正楷体简体"/>
          <w:sz w:val="32"/>
          <w:lang w:eastAsia="zh-CN"/>
        </w:rPr>
        <w:t>情况</w:t>
      </w:r>
      <w:r>
        <w:rPr>
          <w:rFonts w:hint="eastAsia" w:eastAsia="方正楷体简体"/>
          <w:sz w:val="32"/>
        </w:rPr>
        <w:t>说明</w:t>
      </w:r>
      <w:r>
        <w:ptab w:relativeTo="margin" w:alignment="right" w:leader="dot"/>
      </w:r>
      <w:r>
        <w:rPr>
          <w:rFonts w:hint="eastAsia" w:eastAsia="方正楷体简体"/>
          <w:sz w:val="32"/>
          <w:lang w:val="en-US" w:eastAsia="zh-CN"/>
        </w:rPr>
        <w:t>19</w:t>
      </w:r>
    </w:p>
    <w:p>
      <w:pPr>
        <w:spacing w:line="578" w:lineRule="exact"/>
        <w:ind w:firstLine="640" w:firstLineChars="200"/>
        <w:rPr>
          <w:rFonts w:hint="default" w:eastAsia="宋体"/>
          <w:sz w:val="32"/>
          <w:lang w:val="en-US" w:eastAsia="zh-CN"/>
        </w:rPr>
      </w:pPr>
      <w:r>
        <w:rPr>
          <w:rFonts w:hint="eastAsia" w:eastAsia="方正楷体简体"/>
          <w:sz w:val="32"/>
        </w:rPr>
        <w:t>九、政府采购支出</w:t>
      </w:r>
      <w:r>
        <w:rPr>
          <w:rFonts w:hint="eastAsia" w:eastAsia="方正楷体简体"/>
          <w:sz w:val="32"/>
          <w:lang w:eastAsia="zh-CN"/>
        </w:rPr>
        <w:t>情况</w:t>
      </w:r>
      <w:r>
        <w:rPr>
          <w:rFonts w:hint="eastAsia" w:eastAsia="方正楷体简体"/>
          <w:sz w:val="32"/>
        </w:rPr>
        <w:t>说明</w:t>
      </w:r>
      <w:r>
        <w:ptab w:relativeTo="margin" w:alignment="right" w:leader="dot"/>
      </w:r>
      <w:r>
        <w:rPr>
          <w:rFonts w:hint="eastAsia" w:eastAsia="方正楷体简体"/>
          <w:sz w:val="32"/>
          <w:lang w:val="en-US" w:eastAsia="zh-CN"/>
        </w:rPr>
        <w:t>20</w:t>
      </w:r>
    </w:p>
    <w:p>
      <w:pPr>
        <w:spacing w:line="578" w:lineRule="exact"/>
        <w:ind w:firstLine="640" w:firstLineChars="200"/>
        <w:rPr>
          <w:rFonts w:hint="default" w:eastAsia="宋体"/>
          <w:sz w:val="32"/>
          <w:lang w:val="en-US" w:eastAsia="zh-CN"/>
        </w:rPr>
      </w:pPr>
      <w:r>
        <w:rPr>
          <w:rFonts w:hint="eastAsia" w:eastAsia="方正楷体简体"/>
          <w:sz w:val="32"/>
        </w:rPr>
        <w:t>十、国有资产占用情况说明</w:t>
      </w:r>
      <w:r>
        <w:ptab w:relativeTo="margin" w:alignment="right" w:leader="dot"/>
      </w:r>
      <w:r>
        <w:rPr>
          <w:rFonts w:hint="eastAsia" w:eastAsia="方正楷体简体"/>
          <w:sz w:val="32"/>
          <w:lang w:val="en-US" w:eastAsia="zh-CN"/>
        </w:rPr>
        <w:t>20</w:t>
      </w:r>
    </w:p>
    <w:p>
      <w:pPr>
        <w:spacing w:line="578" w:lineRule="exact"/>
        <w:ind w:firstLine="640" w:firstLineChars="200"/>
        <w:rPr>
          <w:rFonts w:hint="default" w:eastAsia="宋体"/>
          <w:sz w:val="32"/>
          <w:lang w:val="en-US" w:eastAsia="zh-CN"/>
        </w:rPr>
      </w:pPr>
      <w:r>
        <w:rPr>
          <w:rFonts w:hint="eastAsia" w:eastAsia="方正楷体简体"/>
          <w:sz w:val="32"/>
        </w:rPr>
        <w:t>十一、预算绩效情况说明</w:t>
      </w:r>
      <w:r>
        <w:ptab w:relativeTo="margin" w:alignment="right" w:leader="dot"/>
      </w:r>
      <w:r>
        <w:rPr>
          <w:rFonts w:hint="eastAsia" w:eastAsia="方正楷体简体"/>
          <w:sz w:val="32"/>
          <w:lang w:val="en-US" w:eastAsia="zh-CN"/>
        </w:rPr>
        <w:t>24</w:t>
      </w:r>
    </w:p>
    <w:p>
      <w:pPr>
        <w:spacing w:line="578" w:lineRule="exact"/>
        <w:ind w:firstLine="640" w:firstLineChars="200"/>
        <w:rPr>
          <w:rFonts w:hint="default" w:eastAsia="宋体"/>
          <w:sz w:val="32"/>
          <w:lang w:val="en-US" w:eastAsia="zh-CN"/>
        </w:rPr>
      </w:pPr>
      <w:r>
        <w:rPr>
          <w:rFonts w:eastAsia="方正黑体简体"/>
          <w:sz w:val="32"/>
        </w:rPr>
        <w:t>第四部分 名词解释</w:t>
      </w:r>
      <w:r>
        <w:ptab w:relativeTo="margin" w:alignment="right" w:leader="dot"/>
      </w:r>
      <w:r>
        <w:rPr>
          <w:rFonts w:hint="eastAsia" w:eastAsia="方正楷体简体"/>
          <w:sz w:val="32"/>
          <w:lang w:val="en-US" w:eastAsia="zh-CN"/>
        </w:rPr>
        <w:t>27</w:t>
      </w:r>
    </w:p>
    <w:p>
      <w:pPr>
        <w:spacing w:line="578" w:lineRule="exact"/>
        <w:ind w:firstLine="640" w:firstLineChars="200"/>
        <w:jc w:val="center"/>
        <w:rPr>
          <w:rFonts w:hint="eastAsia" w:eastAsia="方正楷体简体"/>
          <w:sz w:val="44"/>
          <w:szCs w:val="44"/>
          <w:lang w:eastAsia="zh-CN" w:bidi="ar"/>
        </w:rPr>
      </w:pPr>
      <w:r>
        <w:rPr>
          <w:rFonts w:eastAsia="方正黑体简体"/>
          <w:sz w:val="32"/>
        </w:rPr>
        <w:t>第五部分</w:t>
      </w:r>
      <w:r>
        <w:rPr>
          <w:rFonts w:hint="eastAsia" w:eastAsia="方正黑体简体"/>
          <w:sz w:val="32"/>
        </w:rPr>
        <w:t xml:space="preserve"> </w:t>
      </w:r>
      <w:r>
        <w:rPr>
          <w:rFonts w:eastAsia="方正黑体简体"/>
          <w:sz w:val="32"/>
        </w:rPr>
        <w:t>附件</w:t>
      </w:r>
      <w:r>
        <w:ptab w:relativeTo="margin" w:alignment="right" w:leader="dot"/>
      </w:r>
      <w:r>
        <w:rPr>
          <w:rFonts w:hint="eastAsia" w:eastAsia="方正楷体简体"/>
          <w:sz w:val="32"/>
          <w:szCs w:val="22"/>
        </w:rPr>
        <w:t>3</w:t>
      </w:r>
      <w:r>
        <w:rPr>
          <w:rFonts w:hint="eastAsia" w:eastAsia="方正楷体简体"/>
          <w:sz w:val="32"/>
          <w:szCs w:val="22"/>
          <w:lang w:val="en-US" w:eastAsia="zh-CN"/>
        </w:rPr>
        <w:t>7</w:t>
      </w:r>
    </w:p>
    <w:p>
      <w:pPr>
        <w:spacing w:line="578" w:lineRule="exact"/>
        <w:ind w:firstLine="880" w:firstLineChars="200"/>
        <w:jc w:val="center"/>
        <w:rPr>
          <w:rFonts w:eastAsia="黑体"/>
          <w:sz w:val="44"/>
          <w:szCs w:val="44"/>
          <w:lang w:bidi="ar"/>
        </w:rPr>
      </w:pPr>
    </w:p>
    <w:p>
      <w:pPr>
        <w:spacing w:line="578" w:lineRule="exact"/>
        <w:ind w:firstLine="880" w:firstLineChars="200"/>
        <w:jc w:val="center"/>
        <w:rPr>
          <w:rFonts w:eastAsia="黑体"/>
          <w:sz w:val="44"/>
          <w:szCs w:val="44"/>
          <w:lang w:bidi="ar"/>
        </w:rPr>
        <w:sectPr>
          <w:footerReference r:id="rId4" w:type="default"/>
          <w:pgSz w:w="11906" w:h="16838"/>
          <w:pgMar w:top="2098" w:right="1474" w:bottom="1985" w:left="1588" w:header="851" w:footer="992" w:gutter="0"/>
          <w:pgNumType w:fmt="numberInDash" w:start="1"/>
          <w:cols w:space="0" w:num="1"/>
          <w:docGrid w:type="lines" w:linePitch="312" w:charSpace="0"/>
        </w:sectPr>
      </w:pPr>
    </w:p>
    <w:p>
      <w:pPr>
        <w:spacing w:line="578" w:lineRule="exact"/>
        <w:ind w:firstLine="880" w:firstLineChars="200"/>
        <w:jc w:val="center"/>
        <w:rPr>
          <w:rFonts w:eastAsia="黑体"/>
          <w:sz w:val="44"/>
          <w:szCs w:val="44"/>
          <w:lang w:bidi="ar"/>
        </w:rPr>
      </w:pPr>
    </w:p>
    <w:p>
      <w:pPr>
        <w:spacing w:line="578" w:lineRule="exact"/>
        <w:ind w:firstLine="880" w:firstLineChars="200"/>
        <w:jc w:val="center"/>
        <w:rPr>
          <w:rFonts w:eastAsia="黑体"/>
          <w:sz w:val="44"/>
          <w:szCs w:val="44"/>
          <w:lang w:bidi="ar"/>
        </w:rPr>
      </w:pPr>
    </w:p>
    <w:p>
      <w:pPr>
        <w:spacing w:line="578" w:lineRule="exact"/>
        <w:ind w:firstLine="880" w:firstLineChars="200"/>
        <w:jc w:val="center"/>
        <w:rPr>
          <w:rFonts w:eastAsia="黑体"/>
          <w:sz w:val="44"/>
          <w:szCs w:val="44"/>
          <w:lang w:bidi="ar"/>
        </w:rPr>
      </w:pPr>
    </w:p>
    <w:p>
      <w:pPr>
        <w:spacing w:line="578" w:lineRule="exact"/>
        <w:ind w:firstLine="880" w:firstLineChars="200"/>
        <w:jc w:val="center"/>
        <w:rPr>
          <w:rFonts w:eastAsia="黑体"/>
          <w:sz w:val="44"/>
          <w:szCs w:val="44"/>
          <w:lang w:bidi="ar"/>
        </w:rPr>
      </w:pPr>
    </w:p>
    <w:p>
      <w:pPr>
        <w:spacing w:line="578" w:lineRule="exact"/>
        <w:rPr>
          <w:rFonts w:eastAsia="黑体"/>
          <w:sz w:val="44"/>
          <w:szCs w:val="44"/>
          <w:lang w:bidi="ar"/>
        </w:rPr>
      </w:pPr>
      <w:r>
        <w:rPr>
          <w:rFonts w:hint="eastAsia" w:eastAsia="黑体"/>
          <w:sz w:val="44"/>
          <w:szCs w:val="44"/>
        </w:rPr>
        <mc:AlternateContent>
          <mc:Choice Requires="wps">
            <w:drawing>
              <wp:anchor distT="0" distB="0" distL="114300" distR="114300" simplePos="0" relativeHeight="251660288" behindDoc="0" locked="0" layoutInCell="1" allowOverlap="1">
                <wp:simplePos x="0" y="0"/>
                <wp:positionH relativeFrom="column">
                  <wp:posOffset>-1153160</wp:posOffset>
                </wp:positionH>
                <wp:positionV relativeFrom="paragraph">
                  <wp:posOffset>354330</wp:posOffset>
                </wp:positionV>
                <wp:extent cx="7728585" cy="1958340"/>
                <wp:effectExtent l="0" t="0" r="24765" b="22860"/>
                <wp:wrapNone/>
                <wp:docPr id="5" name="文本框 5"/>
                <wp:cNvGraphicFramePr/>
                <a:graphic xmlns:a="http://schemas.openxmlformats.org/drawingml/2006/main">
                  <a:graphicData uri="http://schemas.microsoft.com/office/word/2010/wordprocessingShape">
                    <wps:wsp>
                      <wps:cNvSpPr txBox="true"/>
                      <wps:spPr>
                        <a:xfrm>
                          <a:off x="0" y="0"/>
                          <a:ext cx="7728857" cy="1958340"/>
                        </a:xfrm>
                        <a:prstGeom prst="rect">
                          <a:avLst/>
                        </a:prstGeom>
                        <a:solidFill>
                          <a:srgbClr val="92D050">
                            <a:alpha val="88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1040" w:firstLineChars="200"/>
                              <w:rPr>
                                <w:rFonts w:ascii="方正黑体简体" w:eastAsia="方正黑体简体"/>
                                <w:sz w:val="52"/>
                              </w:rPr>
                            </w:pPr>
                            <w:r>
                              <w:rPr>
                                <w:rFonts w:hint="eastAsia" w:ascii="方正黑体简体" w:eastAsia="方正黑体简体"/>
                                <w:sz w:val="52"/>
                              </w:rPr>
                              <w:t>第一部分</w:t>
                            </w:r>
                          </w:p>
                          <w:p>
                            <w:pPr>
                              <w:jc w:val="center"/>
                              <w:rPr>
                                <w:rFonts w:ascii="方正黑体简体" w:eastAsia="方正黑体简体"/>
                                <w:sz w:val="72"/>
                              </w:rPr>
                            </w:pPr>
                            <w:r>
                              <w:rPr>
                                <w:rFonts w:hint="default" w:ascii="方正黑体简体" w:eastAsia="方正黑体简体"/>
                                <w:sz w:val="72"/>
                                <w:lang w:val="en"/>
                              </w:rPr>
                              <w:t>福建省森林消防总队</w:t>
                            </w:r>
                            <w:r>
                              <w:rPr>
                                <w:rFonts w:hint="eastAsia" w:ascii="方正黑体简体" w:eastAsia="方正黑体简体"/>
                                <w:sz w:val="72"/>
                              </w:rPr>
                              <w:t>概况</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0.8pt;margin-top:27.9pt;height:154.2pt;width:608.55pt;z-index:251660288;mso-width-relative:page;mso-height-relative:page;" fillcolor="#92D050" filled="t" stroked="t" coordsize="21600,21600" o:gfxdata="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0MIXx9oAAAAMAQAADwAAAAAAAAABACAAAAA4AAAAZHJz&#10;L2Rvd25yZXYueG1sUEsBAhQAFAAAAAgAh07iQE+MupNeAgAAqwQAAA4AAAAAAAAAAQAgAAAAPwEA&#10;AGRycy9lMm9Eb2MueG1sUEsFBgAAAAAGAAYAWQEAAA8GAAAAAA==&#10;">
                <v:fill on="t" opacity="57671f" focussize="0,0"/>
                <v:stroke weight="0.5pt" color="#000000 [3204]" joinstyle="round"/>
                <v:imagedata o:title=""/>
                <o:lock v:ext="edit" aspectratio="f"/>
                <v:textbox>
                  <w:txbxContent>
                    <w:p>
                      <w:pPr>
                        <w:ind w:firstLine="1040" w:firstLineChars="200"/>
                        <w:rPr>
                          <w:rFonts w:ascii="方正黑体简体" w:eastAsia="方正黑体简体"/>
                          <w:sz w:val="52"/>
                        </w:rPr>
                      </w:pPr>
                      <w:r>
                        <w:rPr>
                          <w:rFonts w:hint="eastAsia" w:ascii="方正黑体简体" w:eastAsia="方正黑体简体"/>
                          <w:sz w:val="52"/>
                        </w:rPr>
                        <w:t>第一部分</w:t>
                      </w:r>
                    </w:p>
                    <w:p>
                      <w:pPr>
                        <w:jc w:val="center"/>
                        <w:rPr>
                          <w:rFonts w:ascii="方正黑体简体" w:eastAsia="方正黑体简体"/>
                          <w:sz w:val="72"/>
                        </w:rPr>
                      </w:pPr>
                      <w:r>
                        <w:rPr>
                          <w:rFonts w:hint="default" w:ascii="方正黑体简体" w:eastAsia="方正黑体简体"/>
                          <w:sz w:val="72"/>
                          <w:lang w:val="en"/>
                        </w:rPr>
                        <w:t>福建省森林消防总队</w:t>
                      </w:r>
                      <w:r>
                        <w:rPr>
                          <w:rFonts w:hint="eastAsia" w:ascii="方正黑体简体" w:eastAsia="方正黑体简体"/>
                          <w:sz w:val="72"/>
                        </w:rPr>
                        <w:t>概况</w:t>
                      </w:r>
                    </w:p>
                  </w:txbxContent>
                </v:textbox>
              </v:shape>
            </w:pict>
          </mc:Fallback>
        </mc:AlternateContent>
      </w:r>
    </w:p>
    <w:p>
      <w:pPr>
        <w:spacing w:line="578" w:lineRule="exact"/>
        <w:ind w:firstLine="880" w:firstLineChars="200"/>
        <w:jc w:val="center"/>
        <w:rPr>
          <w:rFonts w:eastAsia="黑体"/>
          <w:sz w:val="44"/>
          <w:szCs w:val="44"/>
          <w:lang w:bidi="ar"/>
        </w:rPr>
      </w:pPr>
    </w:p>
    <w:p>
      <w:pPr>
        <w:spacing w:line="578" w:lineRule="exact"/>
        <w:ind w:firstLine="880" w:firstLineChars="200"/>
        <w:jc w:val="center"/>
        <w:rPr>
          <w:rFonts w:eastAsia="黑体"/>
          <w:sz w:val="44"/>
          <w:szCs w:val="44"/>
          <w:lang w:bidi="ar"/>
        </w:rPr>
      </w:pPr>
    </w:p>
    <w:p>
      <w:pPr>
        <w:spacing w:line="578" w:lineRule="exact"/>
        <w:ind w:firstLine="880" w:firstLineChars="200"/>
        <w:jc w:val="center"/>
        <w:rPr>
          <w:rFonts w:eastAsia="黑体"/>
          <w:sz w:val="44"/>
          <w:szCs w:val="44"/>
          <w:lang w:bidi="ar"/>
        </w:rPr>
      </w:pPr>
    </w:p>
    <w:p>
      <w:pPr>
        <w:pStyle w:val="13"/>
        <w:widowControl/>
        <w:tabs>
          <w:tab w:val="right" w:leader="dot" w:pos="8306"/>
        </w:tabs>
        <w:spacing w:line="578" w:lineRule="exact"/>
        <w:ind w:firstLine="160" w:firstLineChars="50"/>
        <w:rPr>
          <w:rStyle w:val="19"/>
          <w:rFonts w:ascii="方正黑体简体" w:hAnsi="Times New Roman" w:eastAsia="方正黑体简体"/>
          <w:bCs/>
          <w:color w:val="auto"/>
          <w:sz w:val="32"/>
          <w:szCs w:val="32"/>
          <w:u w:val="none"/>
        </w:rPr>
      </w:pPr>
    </w:p>
    <w:p>
      <w:pPr>
        <w:pStyle w:val="13"/>
        <w:widowControl/>
        <w:tabs>
          <w:tab w:val="right" w:leader="dot" w:pos="8306"/>
        </w:tabs>
        <w:spacing w:line="578" w:lineRule="exact"/>
        <w:ind w:firstLine="160" w:firstLineChars="50"/>
        <w:rPr>
          <w:rStyle w:val="19"/>
          <w:rFonts w:ascii="方正黑体简体" w:hAnsi="Times New Roman" w:eastAsia="方正黑体简体"/>
          <w:bCs/>
          <w:color w:val="auto"/>
          <w:sz w:val="32"/>
          <w:szCs w:val="32"/>
          <w:u w:val="none"/>
        </w:rPr>
      </w:pPr>
    </w:p>
    <w:p>
      <w:pPr>
        <w:pStyle w:val="13"/>
        <w:widowControl/>
        <w:tabs>
          <w:tab w:val="right" w:leader="dot" w:pos="8306"/>
        </w:tabs>
        <w:spacing w:line="578" w:lineRule="exact"/>
        <w:ind w:firstLine="160" w:firstLineChars="50"/>
        <w:rPr>
          <w:rStyle w:val="19"/>
          <w:rFonts w:ascii="方正黑体简体" w:hAnsi="Times New Roman" w:eastAsia="方正黑体简体"/>
          <w:bCs/>
          <w:color w:val="auto"/>
          <w:sz w:val="32"/>
          <w:szCs w:val="32"/>
          <w:u w:val="none"/>
        </w:rPr>
      </w:pPr>
    </w:p>
    <w:p>
      <w:pPr>
        <w:pStyle w:val="13"/>
        <w:widowControl/>
        <w:tabs>
          <w:tab w:val="right" w:leader="dot" w:pos="8306"/>
        </w:tabs>
        <w:spacing w:line="578" w:lineRule="exact"/>
        <w:ind w:firstLine="160" w:firstLineChars="50"/>
        <w:rPr>
          <w:rStyle w:val="19"/>
          <w:rFonts w:ascii="方正黑体简体" w:hAnsi="Times New Roman" w:eastAsia="方正黑体简体"/>
          <w:bCs/>
          <w:color w:val="auto"/>
          <w:sz w:val="32"/>
          <w:szCs w:val="32"/>
          <w:u w:val="none"/>
        </w:rPr>
      </w:pPr>
    </w:p>
    <w:p/>
    <w:p/>
    <w:p/>
    <w:p/>
    <w:p/>
    <w:p/>
    <w:p/>
    <w:p/>
    <w:p/>
    <w:p/>
    <w:p/>
    <w:p/>
    <w:p/>
    <w:p/>
    <w:p/>
    <w:p/>
    <w:p>
      <w:pPr>
        <w:pStyle w:val="13"/>
        <w:widowControl/>
        <w:tabs>
          <w:tab w:val="right" w:leader="dot" w:pos="8306"/>
        </w:tabs>
        <w:spacing w:line="578" w:lineRule="exact"/>
        <w:ind w:firstLine="160" w:firstLineChars="50"/>
        <w:rPr>
          <w:rStyle w:val="19"/>
          <w:rFonts w:ascii="方正黑体简体" w:hAnsi="Times New Roman" w:eastAsia="方正黑体简体"/>
          <w:bCs/>
          <w:color w:val="auto"/>
          <w:sz w:val="32"/>
          <w:szCs w:val="32"/>
          <w:u w:val="none"/>
        </w:rPr>
      </w:pPr>
    </w:p>
    <w:p>
      <w:pPr>
        <w:pStyle w:val="13"/>
        <w:widowControl/>
        <w:tabs>
          <w:tab w:val="right" w:leader="dot" w:pos="8306"/>
        </w:tabs>
        <w:spacing w:line="578" w:lineRule="exact"/>
        <w:ind w:left="0" w:leftChars="0"/>
        <w:outlineLvl w:val="0"/>
        <w:rPr>
          <w:rStyle w:val="19"/>
          <w:rFonts w:ascii="方正黑体简体" w:hAnsi="Times New Roman" w:eastAsia="方正黑体简体"/>
          <w:bCs/>
          <w:color w:val="auto"/>
          <w:sz w:val="36"/>
          <w:szCs w:val="32"/>
          <w:u w:val="none"/>
        </w:rPr>
      </w:pPr>
      <w:r>
        <w:rPr>
          <w:rFonts w:hint="eastAsia" w:ascii="方正黑体简体" w:hAnsi="Times New Roman" w:eastAsia="方正黑体简体"/>
          <w:bCs/>
          <w:sz w:val="40"/>
          <w:szCs w:val="32"/>
        </w:rPr>
        <mc:AlternateContent>
          <mc:Choice Requires="wps">
            <w:drawing>
              <wp:anchor distT="0" distB="0" distL="114300" distR="114300" simplePos="0" relativeHeight="251685888" behindDoc="0" locked="0" layoutInCell="1" allowOverlap="1">
                <wp:simplePos x="0" y="0"/>
                <wp:positionH relativeFrom="column">
                  <wp:posOffset>4591685</wp:posOffset>
                </wp:positionH>
                <wp:positionV relativeFrom="paragraph">
                  <wp:posOffset>142240</wp:posOffset>
                </wp:positionV>
                <wp:extent cx="163195" cy="173990"/>
                <wp:effectExtent l="19050" t="0" r="27305" b="16510"/>
                <wp:wrapNone/>
                <wp:docPr id="9" name="燕尾形 9"/>
                <wp:cNvGraphicFramePr/>
                <a:graphic xmlns:a="http://schemas.openxmlformats.org/drawingml/2006/main">
                  <a:graphicData uri="http://schemas.microsoft.com/office/word/2010/wordprocessingShape">
                    <wps:wsp>
                      <wps:cNvSpPr/>
                      <wps:spPr>
                        <a:xfrm>
                          <a:off x="0" y="0"/>
                          <a:ext cx="163285" cy="174172"/>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55" type="#_x0000_t55" style="position:absolute;left:0pt;margin-left:361.55pt;margin-top:11.2pt;height:13.7pt;width:12.85pt;z-index:251685888;v-text-anchor:middle;mso-width-relative:page;mso-height-relative:page;" fillcolor="#000000 [3213]" filled="t" stroked="t" coordsize="21600,21600" o:gfxdata="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CRihgs1wAAAAkBAAAPAAAAAAAAAAEAIAAAADgAAABkcnMvZG93bnJldi54bWxQSwEC&#10;FAAUAAAACACHTuJARjYTCVECAACjBAAADgAAAAAAAAABACAAAAA8AQAAZHJzL2Uyb0RvYy54bWxQ&#10;SwUGAAAAAAYABgBZAQAA/wUAAAAA&#10;" adj="10800">
                <v:fill on="t" focussize="0,0"/>
                <v:stroke weight="2pt" color="#000000 [3213]" joinstyle="round"/>
                <v:imagedata o:title=""/>
                <o:lock v:ext="edit" aspectratio="f"/>
              </v:shape>
            </w:pict>
          </mc:Fallback>
        </mc:AlternateContent>
      </w:r>
      <w:r>
        <w:rPr>
          <w:rStyle w:val="19"/>
          <w:rFonts w:hint="default" w:ascii="方正黑体简体" w:hAnsi="Times New Roman" w:eastAsia="方正黑体简体"/>
          <w:bCs/>
          <w:color w:val="auto"/>
          <w:sz w:val="40"/>
          <w:szCs w:val="32"/>
          <w:u w:val="none"/>
          <w:lang w:val="en"/>
        </w:rPr>
        <w:t>福建省森林消防总队</w:t>
      </w:r>
      <w:r>
        <w:rPr>
          <w:rStyle w:val="19"/>
          <w:rFonts w:hint="eastAsia" w:ascii="Times New Roman" w:hAnsi="Times New Roman" w:eastAsia="方正黑体简体"/>
          <w:bCs/>
          <w:color w:val="auto"/>
          <w:sz w:val="40"/>
          <w:szCs w:val="32"/>
          <w:u w:val="none"/>
          <w:lang w:eastAsia="zh-CN"/>
        </w:rPr>
        <w:t>2021年度</w:t>
      </w:r>
      <w:r>
        <w:rPr>
          <w:rStyle w:val="19"/>
          <w:rFonts w:hint="eastAsia" w:ascii="Times New Roman" w:hAnsi="Times New Roman" w:eastAsia="方正黑体简体"/>
          <w:bCs/>
          <w:color w:val="auto"/>
          <w:sz w:val="40"/>
          <w:szCs w:val="32"/>
          <w:u w:val="none"/>
        </w:rPr>
        <w:t>部门决算</w:t>
      </w:r>
      <w:r>
        <w:rPr>
          <w:rStyle w:val="19"/>
          <w:rFonts w:hint="eastAsia" w:ascii="方正黑体简体" w:hAnsi="Times New Roman" w:eastAsia="方正黑体简体"/>
          <w:bCs/>
          <w:color w:val="auto"/>
          <w:sz w:val="40"/>
          <w:szCs w:val="32"/>
          <w:u w:val="none"/>
        </w:rPr>
        <w:t xml:space="preserve">   部门概况</w:t>
      </w:r>
    </w:p>
    <w:p>
      <w:pPr>
        <w:pStyle w:val="13"/>
        <w:widowControl/>
        <w:tabs>
          <w:tab w:val="right" w:leader="dot" w:pos="8306"/>
        </w:tabs>
        <w:spacing w:line="578" w:lineRule="exact"/>
        <w:ind w:left="0" w:leftChars="0" w:firstLine="640" w:firstLineChars="200"/>
        <w:rPr>
          <w:rStyle w:val="19"/>
          <w:rFonts w:ascii="方正楷体简体" w:hAnsi="Times New Roman" w:eastAsia="方正楷体简体"/>
          <w:bCs/>
          <w:color w:val="auto"/>
          <w:sz w:val="32"/>
          <w:szCs w:val="32"/>
          <w:u w:val="none"/>
        </w:rPr>
      </w:pPr>
    </w:p>
    <w:p>
      <w:pPr>
        <w:pStyle w:val="13"/>
        <w:widowControl/>
        <w:tabs>
          <w:tab w:val="right" w:leader="dot" w:pos="8306"/>
        </w:tabs>
        <w:spacing w:line="578" w:lineRule="exact"/>
        <w:ind w:left="0" w:leftChars="0" w:firstLine="601" w:firstLineChars="188"/>
        <w:rPr>
          <w:rStyle w:val="19"/>
          <w:rFonts w:ascii="方正黑体简体" w:hAnsi="Times New Roman" w:eastAsia="方正黑体简体"/>
          <w:bCs/>
          <w:color w:val="auto"/>
          <w:sz w:val="32"/>
          <w:szCs w:val="32"/>
          <w:u w:val="none"/>
        </w:rPr>
      </w:pPr>
      <w:r>
        <w:rPr>
          <w:rStyle w:val="19"/>
          <w:rFonts w:hint="eastAsia" w:ascii="方正黑体简体" w:hAnsi="Times New Roman" w:eastAsia="方正黑体简体"/>
          <w:bCs/>
          <w:color w:val="auto"/>
          <w:sz w:val="32"/>
          <w:szCs w:val="32"/>
          <w:u w:val="none"/>
        </w:rPr>
        <w:t>一、部门职责</w:t>
      </w:r>
    </w:p>
    <w:p>
      <w:pPr>
        <w:spacing w:line="578"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根据《习近平总书记在国家综合性消防救援队伍授旗仪式上的训词》，</w:t>
      </w:r>
      <w:r>
        <w:rPr>
          <w:rFonts w:hint="eastAsia" w:ascii="方正仿宋简体" w:hAnsi="方正仿宋简体" w:eastAsia="方正仿宋简体" w:cs="方正仿宋简体"/>
          <w:sz w:val="32"/>
          <w:szCs w:val="32"/>
          <w:lang w:eastAsia="zh-CN"/>
        </w:rPr>
        <w:t>福建</w:t>
      </w:r>
      <w:r>
        <w:rPr>
          <w:rFonts w:hint="eastAsia" w:ascii="方正仿宋简体" w:hAnsi="方正仿宋简体" w:eastAsia="方正仿宋简体" w:cs="方正仿宋简体"/>
          <w:sz w:val="32"/>
          <w:szCs w:val="32"/>
        </w:rPr>
        <w:t>省森林消防总队承担防范化解重大安全风险，应对处置各类灾害事故的职责。</w:t>
      </w:r>
    </w:p>
    <w:p>
      <w:pPr>
        <w:pStyle w:val="13"/>
        <w:widowControl/>
        <w:tabs>
          <w:tab w:val="right" w:leader="dot" w:pos="8306"/>
        </w:tabs>
        <w:spacing w:line="578" w:lineRule="exact"/>
        <w:ind w:left="0" w:leftChars="0" w:firstLine="640" w:firstLineChars="200"/>
        <w:rPr>
          <w:rStyle w:val="19"/>
          <w:rFonts w:ascii="方正黑体简体" w:hAnsi="Times New Roman" w:eastAsia="方正黑体简体"/>
          <w:bCs/>
          <w:color w:val="auto"/>
          <w:sz w:val="32"/>
          <w:szCs w:val="32"/>
          <w:u w:val="none"/>
        </w:rPr>
      </w:pPr>
      <w:r>
        <w:rPr>
          <w:rStyle w:val="19"/>
          <w:rFonts w:hint="eastAsia" w:ascii="方正黑体简体" w:hAnsi="Times New Roman" w:eastAsia="方正黑体简体"/>
          <w:bCs/>
          <w:color w:val="auto"/>
          <w:sz w:val="32"/>
          <w:szCs w:val="32"/>
          <w:u w:val="none"/>
        </w:rPr>
        <w:t>二、机构设置</w:t>
      </w:r>
    </w:p>
    <w:p>
      <w:pPr>
        <w:pStyle w:val="23"/>
        <w:spacing w:line="578" w:lineRule="exact"/>
        <w:ind w:firstLine="640" w:firstLineChars="200"/>
        <w:jc w:val="both"/>
        <w:rPr>
          <w:rFonts w:ascii="Times New Roman" w:hAnsi="Times New Roman" w:eastAsia="方正仿宋简体"/>
          <w:sz w:val="32"/>
        </w:rPr>
      </w:pPr>
      <w:r>
        <w:rPr>
          <w:rFonts w:ascii="Times New Roman" w:hAnsi="Times New Roman" w:eastAsia="方正仿宋简体"/>
          <w:sz w:val="32"/>
        </w:rPr>
        <w:t>从单位构成看，</w:t>
      </w:r>
      <w:r>
        <w:rPr>
          <w:rFonts w:hint="eastAsia" w:ascii="Times New Roman" w:hAnsi="Times New Roman" w:eastAsia="方正仿宋简体"/>
          <w:sz w:val="32"/>
          <w:lang w:eastAsia="zh-CN"/>
        </w:rPr>
        <w:t>福建</w:t>
      </w:r>
      <w:r>
        <w:rPr>
          <w:rFonts w:hint="eastAsia" w:ascii="Times New Roman" w:hAnsi="Times New Roman" w:eastAsia="方正仿宋简体"/>
          <w:sz w:val="32"/>
        </w:rPr>
        <w:t>省森林消防总队</w:t>
      </w:r>
      <w:r>
        <w:rPr>
          <w:rFonts w:ascii="Times New Roman" w:hAnsi="Times New Roman" w:eastAsia="方正仿宋简体"/>
          <w:sz w:val="32"/>
        </w:rPr>
        <w:t>部门</w:t>
      </w:r>
      <w:r>
        <w:rPr>
          <w:rFonts w:hint="eastAsia" w:ascii="Times New Roman" w:hAnsi="Times New Roman" w:eastAsia="方正仿宋简体"/>
          <w:sz w:val="32"/>
        </w:rPr>
        <w:t>决算</w:t>
      </w:r>
      <w:r>
        <w:rPr>
          <w:rFonts w:ascii="Times New Roman" w:hAnsi="Times New Roman" w:eastAsia="方正仿宋简体"/>
          <w:sz w:val="32"/>
        </w:rPr>
        <w:t>包括：</w:t>
      </w:r>
      <w:r>
        <w:rPr>
          <w:rFonts w:hint="eastAsia" w:ascii="Times New Roman" w:hAnsi="Times New Roman" w:eastAsia="方正仿宋简体"/>
          <w:sz w:val="32"/>
        </w:rPr>
        <w:t>总队</w:t>
      </w:r>
      <w:r>
        <w:rPr>
          <w:rFonts w:ascii="Times New Roman" w:hAnsi="Times New Roman" w:eastAsia="方正仿宋简体"/>
          <w:sz w:val="32"/>
        </w:rPr>
        <w:t>本级</w:t>
      </w:r>
      <w:r>
        <w:rPr>
          <w:rFonts w:hint="eastAsia" w:ascii="Times New Roman" w:hAnsi="Times New Roman" w:eastAsia="方正仿宋简体"/>
          <w:sz w:val="32"/>
        </w:rPr>
        <w:t>决算</w:t>
      </w:r>
      <w:r>
        <w:rPr>
          <w:rFonts w:ascii="Times New Roman" w:hAnsi="Times New Roman" w:eastAsia="方正仿宋简体"/>
          <w:sz w:val="32"/>
        </w:rPr>
        <w:t>和所属</w:t>
      </w:r>
      <w:r>
        <w:rPr>
          <w:rFonts w:hint="eastAsia" w:ascii="Times New Roman" w:hAnsi="Times New Roman" w:eastAsia="方正仿宋简体"/>
          <w:sz w:val="32"/>
        </w:rPr>
        <w:t>3个支队</w:t>
      </w:r>
      <w:r>
        <w:rPr>
          <w:rFonts w:ascii="Times New Roman" w:hAnsi="Times New Roman" w:eastAsia="方正仿宋简体"/>
          <w:sz w:val="32"/>
        </w:rPr>
        <w:t>单位</w:t>
      </w:r>
      <w:r>
        <w:rPr>
          <w:rFonts w:hint="eastAsia" w:ascii="Times New Roman" w:hAnsi="Times New Roman" w:eastAsia="方正仿宋简体"/>
          <w:sz w:val="32"/>
        </w:rPr>
        <w:t>决算</w:t>
      </w:r>
      <w:r>
        <w:rPr>
          <w:rFonts w:ascii="Times New Roman" w:hAnsi="Times New Roman" w:eastAsia="方正仿宋简体"/>
          <w:sz w:val="32"/>
        </w:rPr>
        <w:t>。</w:t>
      </w:r>
    </w:p>
    <w:p>
      <w:pPr>
        <w:spacing w:line="578" w:lineRule="exact"/>
        <w:sectPr>
          <w:pgSz w:w="11906" w:h="16838"/>
          <w:pgMar w:top="2098" w:right="1474" w:bottom="1985" w:left="1588" w:header="851" w:footer="992" w:gutter="0"/>
          <w:pgNumType w:fmt="numberInDash" w:start="1"/>
          <w:cols w:space="0" w:num="1"/>
          <w:docGrid w:type="lines" w:linePitch="312" w:charSpace="0"/>
        </w:sectPr>
      </w:pPr>
    </w:p>
    <w:p>
      <w:pPr>
        <w:spacing w:line="578" w:lineRule="exact"/>
        <w:rPr>
          <w:rFonts w:ascii="方正黑体简体" w:eastAsia="方正黑体简体"/>
          <w:sz w:val="44"/>
        </w:rPr>
      </w:pPr>
    </w:p>
    <w:p>
      <w:pPr>
        <w:spacing w:line="578" w:lineRule="exact"/>
        <w:rPr>
          <w:rFonts w:ascii="方正黑体简体" w:eastAsia="方正黑体简体"/>
          <w:sz w:val="44"/>
        </w:rPr>
      </w:pPr>
    </w:p>
    <w:p>
      <w:pPr>
        <w:spacing w:line="578" w:lineRule="exact"/>
        <w:rPr>
          <w:rFonts w:ascii="方正黑体简体" w:eastAsia="方正黑体简体"/>
          <w:sz w:val="44"/>
        </w:rPr>
      </w:pPr>
    </w:p>
    <w:p>
      <w:pPr>
        <w:spacing w:line="578" w:lineRule="exact"/>
        <w:rPr>
          <w:rFonts w:ascii="方正黑体简体" w:eastAsia="方正黑体简体"/>
          <w:sz w:val="44"/>
        </w:rPr>
      </w:pPr>
    </w:p>
    <w:p>
      <w:pPr>
        <w:spacing w:line="578" w:lineRule="exact"/>
        <w:rPr>
          <w:rFonts w:ascii="方正黑体简体" w:eastAsia="方正黑体简体"/>
          <w:sz w:val="44"/>
        </w:rPr>
      </w:pPr>
      <w:r>
        <w:rPr>
          <w:rFonts w:hint="eastAsia" w:eastAsia="黑体"/>
          <w:sz w:val="44"/>
          <w:szCs w:val="44"/>
        </w:rPr>
        <mc:AlternateContent>
          <mc:Choice Requires="wps">
            <w:drawing>
              <wp:anchor distT="0" distB="0" distL="114300" distR="114300" simplePos="0" relativeHeight="251662336" behindDoc="0" locked="0" layoutInCell="1" allowOverlap="1">
                <wp:simplePos x="0" y="0"/>
                <wp:positionH relativeFrom="column">
                  <wp:posOffset>-1040130</wp:posOffset>
                </wp:positionH>
                <wp:positionV relativeFrom="paragraph">
                  <wp:posOffset>366395</wp:posOffset>
                </wp:positionV>
                <wp:extent cx="7793990" cy="1948815"/>
                <wp:effectExtent l="0" t="0" r="16510" b="13335"/>
                <wp:wrapNone/>
                <wp:docPr id="6" name="文本框 6"/>
                <wp:cNvGraphicFramePr/>
                <a:graphic xmlns:a="http://schemas.openxmlformats.org/drawingml/2006/main">
                  <a:graphicData uri="http://schemas.microsoft.com/office/word/2010/wordprocessingShape">
                    <wps:wsp>
                      <wps:cNvSpPr txBox="true"/>
                      <wps:spPr>
                        <a:xfrm>
                          <a:off x="0" y="0"/>
                          <a:ext cx="7793990" cy="1948815"/>
                        </a:xfrm>
                        <a:prstGeom prst="rect">
                          <a:avLst/>
                        </a:prstGeom>
                        <a:solidFill>
                          <a:srgbClr val="92D050">
                            <a:alpha val="88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1040" w:firstLineChars="200"/>
                              <w:rPr>
                                <w:rFonts w:ascii="方正黑体简体" w:eastAsia="方正黑体简体"/>
                                <w:sz w:val="52"/>
                              </w:rPr>
                            </w:pPr>
                            <w:r>
                              <w:rPr>
                                <w:rFonts w:hint="eastAsia" w:ascii="方正黑体简体" w:eastAsia="方正黑体简体"/>
                                <w:sz w:val="52"/>
                              </w:rPr>
                              <w:t>第二部分</w:t>
                            </w:r>
                          </w:p>
                          <w:p>
                            <w:pPr>
                              <w:jc w:val="center"/>
                              <w:rPr>
                                <w:rFonts w:ascii="方正黑体简体" w:eastAsia="方正黑体简体"/>
                                <w:w w:val="98"/>
                                <w:sz w:val="52"/>
                              </w:rPr>
                            </w:pPr>
                            <w:r>
                              <w:rPr>
                                <w:rFonts w:hint="default" w:ascii="方正黑体简体" w:eastAsia="方正黑体简体"/>
                                <w:w w:val="98"/>
                                <w:sz w:val="72"/>
                                <w:lang w:val="en"/>
                              </w:rPr>
                              <w:t>福建省森林消防总队</w:t>
                            </w:r>
                            <w:r>
                              <w:rPr>
                                <w:rFonts w:hint="eastAsia" w:ascii="方正黑体简体" w:eastAsia="方正黑体简体"/>
                                <w:w w:val="98"/>
                                <w:sz w:val="72"/>
                              </w:rPr>
                              <w:t>部门决算表</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1.9pt;margin-top:28.85pt;height:153.45pt;width:613.7pt;z-index:251662336;mso-width-relative:page;mso-height-relative:page;" fillcolor="#92D050" filled="t" stroked="t" coordsize="21600,21600" o:gfxdata="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N70yrbbAAAADAEAAA8AAAAAAAAAAQAgAAAAOAAAAGRy&#10;cy9kb3ducmV2LnhtbFBLAQIUABQAAAAIAIdO4kC23kkMXgIAAKsEAAAOAAAAAAAAAAEAIAAAAEAB&#10;AABkcnMvZTJvRG9jLnhtbFBLBQYAAAAABgAGAFkBAAAQBgAAAAA=&#10;">
                <v:fill on="t" opacity="57671f" focussize="0,0"/>
                <v:stroke weight="0.5pt" color="#000000 [3204]" joinstyle="round"/>
                <v:imagedata o:title=""/>
                <o:lock v:ext="edit" aspectratio="f"/>
                <v:textbox>
                  <w:txbxContent>
                    <w:p>
                      <w:pPr>
                        <w:ind w:firstLine="1040" w:firstLineChars="200"/>
                        <w:rPr>
                          <w:rFonts w:ascii="方正黑体简体" w:eastAsia="方正黑体简体"/>
                          <w:sz w:val="52"/>
                        </w:rPr>
                      </w:pPr>
                      <w:r>
                        <w:rPr>
                          <w:rFonts w:hint="eastAsia" w:ascii="方正黑体简体" w:eastAsia="方正黑体简体"/>
                          <w:sz w:val="52"/>
                        </w:rPr>
                        <w:t>第二部分</w:t>
                      </w:r>
                    </w:p>
                    <w:p>
                      <w:pPr>
                        <w:jc w:val="center"/>
                        <w:rPr>
                          <w:rFonts w:ascii="方正黑体简体" w:eastAsia="方正黑体简体"/>
                          <w:w w:val="98"/>
                          <w:sz w:val="52"/>
                        </w:rPr>
                      </w:pPr>
                      <w:r>
                        <w:rPr>
                          <w:rFonts w:hint="default" w:ascii="方正黑体简体" w:eastAsia="方正黑体简体"/>
                          <w:w w:val="98"/>
                          <w:sz w:val="72"/>
                          <w:lang w:val="en"/>
                        </w:rPr>
                        <w:t>福建省森林消防总队</w:t>
                      </w:r>
                      <w:r>
                        <w:rPr>
                          <w:rFonts w:hint="eastAsia" w:ascii="方正黑体简体" w:eastAsia="方正黑体简体"/>
                          <w:w w:val="98"/>
                          <w:sz w:val="72"/>
                        </w:rPr>
                        <w:t>部门决算表</w:t>
                      </w:r>
                    </w:p>
                  </w:txbxContent>
                </v:textbox>
              </v:shape>
            </w:pict>
          </mc:Fallback>
        </mc:AlternateContent>
      </w: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spacing w:line="578" w:lineRule="exact"/>
      </w:pPr>
    </w:p>
    <w:p>
      <w:pPr>
        <w:pStyle w:val="13"/>
        <w:widowControl/>
        <w:tabs>
          <w:tab w:val="right" w:leader="dot" w:pos="8306"/>
        </w:tabs>
        <w:spacing w:line="578" w:lineRule="exact"/>
        <w:ind w:left="0" w:leftChars="0"/>
        <w:outlineLvl w:val="0"/>
        <w:rPr>
          <w:rStyle w:val="19"/>
          <w:rFonts w:ascii="方正黑体简体" w:hAnsi="Times New Roman" w:eastAsia="方正黑体简体"/>
          <w:bCs/>
          <w:color w:val="auto"/>
          <w:sz w:val="40"/>
          <w:szCs w:val="32"/>
          <w:u w:val="none"/>
        </w:rPr>
      </w:pPr>
      <w:r>
        <w:rPr>
          <w:rFonts w:hint="eastAsia" w:ascii="方正黑体简体" w:hAnsi="Times New Roman" w:eastAsia="方正黑体简体"/>
          <w:bCs/>
          <w:sz w:val="40"/>
          <w:szCs w:val="32"/>
        </w:rPr>
        <mc:AlternateContent>
          <mc:Choice Requires="wps">
            <w:drawing>
              <wp:anchor distT="0" distB="0" distL="114300" distR="114300" simplePos="0" relativeHeight="251687936" behindDoc="0" locked="0" layoutInCell="1" allowOverlap="1">
                <wp:simplePos x="0" y="0"/>
                <wp:positionH relativeFrom="column">
                  <wp:posOffset>4585335</wp:posOffset>
                </wp:positionH>
                <wp:positionV relativeFrom="paragraph">
                  <wp:posOffset>121285</wp:posOffset>
                </wp:positionV>
                <wp:extent cx="163195" cy="173990"/>
                <wp:effectExtent l="19050" t="0" r="27305" b="16510"/>
                <wp:wrapNone/>
                <wp:docPr id="11" name="燕尾形 11"/>
                <wp:cNvGraphicFramePr/>
                <a:graphic xmlns:a="http://schemas.openxmlformats.org/drawingml/2006/main">
                  <a:graphicData uri="http://schemas.microsoft.com/office/word/2010/wordprocessingShape">
                    <wps:wsp>
                      <wps:cNvSpPr/>
                      <wps:spPr>
                        <a:xfrm>
                          <a:off x="0" y="0"/>
                          <a:ext cx="163195" cy="173990"/>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55" type="#_x0000_t55" style="position:absolute;left:0pt;margin-left:361.05pt;margin-top:9.55pt;height:13.7pt;width:12.85pt;z-index:251687936;v-text-anchor:middle;mso-width-relative:page;mso-height-relative:page;" fillcolor="#000000 [3213]" filled="t" stroked="t" coordsize="21600,21600" o:gfxdata="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A0eTq9cAAAAJAQAADwAAAAAAAAABACAAAAA4AAAAZHJzL2Rvd25yZXYueG1s&#10;UEsBAhQAFAAAAAgAh07iQMKXYmhVAgAApQQAAA4AAAAAAAAAAQAgAAAAPAEAAGRycy9lMm9Eb2Mu&#10;eG1sUEsFBgAAAAAGAAYAWQEAAAMGAAAAAA==&#10;" adj="10800">
                <v:fill on="t" focussize="0,0"/>
                <v:stroke weight="2pt" color="#000000 [3213]" joinstyle="round"/>
                <v:imagedata o:title=""/>
                <o:lock v:ext="edit" aspectratio="f"/>
              </v:shape>
            </w:pict>
          </mc:Fallback>
        </mc:AlternateContent>
      </w:r>
      <w:r>
        <w:rPr>
          <w:rStyle w:val="19"/>
          <w:rFonts w:hint="default" w:ascii="方正黑体简体" w:hAnsi="Times New Roman" w:eastAsia="方正黑体简体"/>
          <w:bCs/>
          <w:color w:val="auto"/>
          <w:sz w:val="40"/>
          <w:szCs w:val="32"/>
          <w:u w:val="none"/>
          <w:lang w:val="en"/>
        </w:rPr>
        <w:t>福建省森林消防总队</w:t>
      </w:r>
      <w:r>
        <w:rPr>
          <w:rStyle w:val="19"/>
          <w:rFonts w:hint="eastAsia" w:ascii="Times New Roman" w:hAnsi="Times New Roman" w:eastAsia="方正黑体简体"/>
          <w:bCs/>
          <w:color w:val="auto"/>
          <w:sz w:val="40"/>
          <w:szCs w:val="32"/>
          <w:u w:val="none"/>
        </w:rPr>
        <w:t>202</w:t>
      </w:r>
      <w:r>
        <w:rPr>
          <w:rStyle w:val="19"/>
          <w:rFonts w:hint="eastAsia" w:ascii="Times New Roman" w:hAnsi="Times New Roman" w:eastAsia="方正黑体简体"/>
          <w:bCs/>
          <w:color w:val="auto"/>
          <w:sz w:val="40"/>
          <w:szCs w:val="32"/>
          <w:u w:val="none"/>
          <w:lang w:val="en-US" w:eastAsia="zh-CN"/>
        </w:rPr>
        <w:t>1</w:t>
      </w:r>
      <w:r>
        <w:rPr>
          <w:rStyle w:val="19"/>
          <w:rFonts w:hint="eastAsia" w:ascii="Times New Roman" w:hAnsi="Times New Roman" w:eastAsia="方正黑体简体"/>
          <w:bCs/>
          <w:color w:val="auto"/>
          <w:sz w:val="40"/>
          <w:szCs w:val="32"/>
          <w:u w:val="none"/>
        </w:rPr>
        <w:t>年度部门决算</w:t>
      </w:r>
      <w:r>
        <w:rPr>
          <w:rStyle w:val="19"/>
          <w:rFonts w:hint="eastAsia" w:ascii="方正黑体简体" w:hAnsi="Times New Roman" w:eastAsia="方正黑体简体"/>
          <w:bCs/>
          <w:color w:val="auto"/>
          <w:sz w:val="40"/>
          <w:szCs w:val="32"/>
          <w:u w:val="none"/>
        </w:rPr>
        <w:t xml:space="preserve">   部门决算表</w:t>
      </w:r>
    </w:p>
    <w:p>
      <w:pPr>
        <w:spacing w:line="240" w:lineRule="auto"/>
        <w:rPr>
          <w:rFonts w:hint="eastAsia" w:ascii="方正黑体简体" w:eastAsia="方正黑体简体"/>
          <w:color w:val="FF0000"/>
          <w:sz w:val="44"/>
          <w:lang w:eastAsia="zh-CN"/>
        </w:rPr>
      </w:pPr>
      <w:r>
        <w:rPr>
          <w:rFonts w:hint="eastAsia" w:ascii="方正黑体简体" w:eastAsia="方正黑体简体"/>
          <w:color w:val="FF0000"/>
          <w:sz w:val="44"/>
          <w:lang w:eastAsia="zh-CN"/>
        </w:rPr>
        <w:drawing>
          <wp:inline distT="0" distB="0" distL="114300" distR="114300">
            <wp:extent cx="5615940" cy="7040245"/>
            <wp:effectExtent l="0" t="0" r="3810" b="8255"/>
            <wp:docPr id="35" name="图片 35" descr="总队汇总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总队汇总1"/>
                    <pic:cNvPicPr>
                      <a:picLocks noChangeAspect="true"/>
                    </pic:cNvPicPr>
                  </pic:nvPicPr>
                  <pic:blipFill>
                    <a:blip r:embed="rId9"/>
                    <a:stretch>
                      <a:fillRect/>
                    </a:stretch>
                  </pic:blipFill>
                  <pic:spPr>
                    <a:xfrm>
                      <a:off x="0" y="0"/>
                      <a:ext cx="5615940" cy="7040245"/>
                    </a:xfrm>
                    <a:prstGeom prst="rect">
                      <a:avLst/>
                    </a:prstGeom>
                  </pic:spPr>
                </pic:pic>
              </a:graphicData>
            </a:graphic>
          </wp:inline>
        </w:drawing>
      </w:r>
    </w:p>
    <w:p>
      <w:pPr>
        <w:spacing w:line="240" w:lineRule="auto"/>
        <w:rPr>
          <w:rFonts w:hint="eastAsia" w:ascii="方正黑体简体" w:eastAsia="方正黑体简体"/>
          <w:color w:val="FF0000"/>
          <w:sz w:val="44"/>
          <w:lang w:eastAsia="zh-CN"/>
        </w:rPr>
      </w:pPr>
      <w:r>
        <w:rPr>
          <w:rFonts w:hint="eastAsia" w:ascii="方正黑体简体" w:eastAsia="方正黑体简体"/>
          <w:color w:val="FF0000"/>
          <w:sz w:val="44"/>
          <w:lang w:eastAsia="zh-CN"/>
        </w:rPr>
        <w:drawing>
          <wp:inline distT="0" distB="0" distL="114300" distR="114300">
            <wp:extent cx="5615940" cy="3382645"/>
            <wp:effectExtent l="0" t="0" r="3810" b="8255"/>
            <wp:docPr id="34" name="图片 34" descr="总队汇总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总队汇总2"/>
                    <pic:cNvPicPr>
                      <a:picLocks noChangeAspect="true"/>
                    </pic:cNvPicPr>
                  </pic:nvPicPr>
                  <pic:blipFill>
                    <a:blip r:embed="rId10"/>
                    <a:stretch>
                      <a:fillRect/>
                    </a:stretch>
                  </pic:blipFill>
                  <pic:spPr>
                    <a:xfrm>
                      <a:off x="0" y="0"/>
                      <a:ext cx="5615940" cy="3382645"/>
                    </a:xfrm>
                    <a:prstGeom prst="rect">
                      <a:avLst/>
                    </a:prstGeom>
                  </pic:spPr>
                </pic:pic>
              </a:graphicData>
            </a:graphic>
          </wp:inline>
        </w:drawing>
      </w: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r>
        <w:rPr>
          <w:rFonts w:hint="eastAsia" w:ascii="方正黑体简体" w:eastAsia="方正黑体简体"/>
          <w:color w:val="FF0000"/>
          <w:sz w:val="44"/>
          <w:lang w:eastAsia="zh-CN"/>
        </w:rPr>
        <w:drawing>
          <wp:inline distT="0" distB="0" distL="114300" distR="114300">
            <wp:extent cx="5614670" cy="3366770"/>
            <wp:effectExtent l="0" t="0" r="5080" b="5080"/>
            <wp:docPr id="33" name="图片 33" descr="总队汇总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总队汇总3"/>
                    <pic:cNvPicPr>
                      <a:picLocks noChangeAspect="true"/>
                    </pic:cNvPicPr>
                  </pic:nvPicPr>
                  <pic:blipFill>
                    <a:blip r:embed="rId11"/>
                    <a:stretch>
                      <a:fillRect/>
                    </a:stretch>
                  </pic:blipFill>
                  <pic:spPr>
                    <a:xfrm>
                      <a:off x="0" y="0"/>
                      <a:ext cx="5614670" cy="3366770"/>
                    </a:xfrm>
                    <a:prstGeom prst="rect">
                      <a:avLst/>
                    </a:prstGeom>
                  </pic:spPr>
                </pic:pic>
              </a:graphicData>
            </a:graphic>
          </wp:inline>
        </w:drawing>
      </w: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r>
        <w:rPr>
          <w:rFonts w:hint="eastAsia" w:ascii="方正黑体简体" w:eastAsia="方正黑体简体"/>
          <w:color w:val="FF0000"/>
          <w:sz w:val="44"/>
          <w:lang w:eastAsia="zh-CN"/>
        </w:rPr>
        <w:drawing>
          <wp:inline distT="0" distB="0" distL="114300" distR="114300">
            <wp:extent cx="5600065" cy="5502910"/>
            <wp:effectExtent l="0" t="0" r="635" b="2540"/>
            <wp:docPr id="32" name="图片 32" descr="总队汇总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总队汇总4"/>
                    <pic:cNvPicPr>
                      <a:picLocks noChangeAspect="true"/>
                    </pic:cNvPicPr>
                  </pic:nvPicPr>
                  <pic:blipFill>
                    <a:blip r:embed="rId12"/>
                    <a:stretch>
                      <a:fillRect/>
                    </a:stretch>
                  </pic:blipFill>
                  <pic:spPr>
                    <a:xfrm>
                      <a:off x="0" y="0"/>
                      <a:ext cx="5600065" cy="5502910"/>
                    </a:xfrm>
                    <a:prstGeom prst="rect">
                      <a:avLst/>
                    </a:prstGeom>
                  </pic:spPr>
                </pic:pic>
              </a:graphicData>
            </a:graphic>
          </wp:inline>
        </w:drawing>
      </w: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r>
        <w:rPr>
          <w:rFonts w:hint="eastAsia" w:ascii="方正黑体简体" w:eastAsia="方正黑体简体"/>
          <w:color w:val="FF0000"/>
          <w:sz w:val="44"/>
          <w:lang w:eastAsia="zh-CN"/>
        </w:rPr>
        <w:drawing>
          <wp:inline distT="0" distB="0" distL="114300" distR="114300">
            <wp:extent cx="5611495" cy="4504055"/>
            <wp:effectExtent l="0" t="0" r="8255" b="10795"/>
            <wp:docPr id="31" name="图片 31" descr="总队汇总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总队汇总5"/>
                    <pic:cNvPicPr>
                      <a:picLocks noChangeAspect="true"/>
                    </pic:cNvPicPr>
                  </pic:nvPicPr>
                  <pic:blipFill>
                    <a:blip r:embed="rId13"/>
                    <a:stretch>
                      <a:fillRect/>
                    </a:stretch>
                  </pic:blipFill>
                  <pic:spPr>
                    <a:xfrm>
                      <a:off x="0" y="0"/>
                      <a:ext cx="5611495" cy="4504055"/>
                    </a:xfrm>
                    <a:prstGeom prst="rect">
                      <a:avLst/>
                    </a:prstGeom>
                  </pic:spPr>
                </pic:pic>
              </a:graphicData>
            </a:graphic>
          </wp:inline>
        </w:drawing>
      </w: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r>
        <w:rPr>
          <w:rFonts w:hint="eastAsia" w:ascii="方正黑体简体" w:eastAsia="方正黑体简体"/>
          <w:color w:val="FF0000"/>
          <w:sz w:val="44"/>
          <w:lang w:eastAsia="zh-CN"/>
        </w:rPr>
        <w:drawing>
          <wp:inline distT="0" distB="0" distL="114300" distR="114300">
            <wp:extent cx="5616575" cy="5073650"/>
            <wp:effectExtent l="0" t="0" r="3175" b="12700"/>
            <wp:docPr id="30" name="图片 30" descr="总队汇总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总队汇总6"/>
                    <pic:cNvPicPr>
                      <a:picLocks noChangeAspect="true"/>
                    </pic:cNvPicPr>
                  </pic:nvPicPr>
                  <pic:blipFill>
                    <a:blip r:embed="rId14"/>
                    <a:stretch>
                      <a:fillRect/>
                    </a:stretch>
                  </pic:blipFill>
                  <pic:spPr>
                    <a:xfrm>
                      <a:off x="0" y="0"/>
                      <a:ext cx="5616575" cy="5073650"/>
                    </a:xfrm>
                    <a:prstGeom prst="rect">
                      <a:avLst/>
                    </a:prstGeom>
                  </pic:spPr>
                </pic:pic>
              </a:graphicData>
            </a:graphic>
          </wp:inline>
        </w:drawing>
      </w: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pStyle w:val="2"/>
        <w:rPr>
          <w:rFonts w:hint="eastAsia" w:ascii="方正黑体简体" w:eastAsia="方正黑体简体"/>
          <w:color w:val="FF0000"/>
          <w:sz w:val="44"/>
          <w:lang w:eastAsia="zh-CN"/>
        </w:rPr>
      </w:pPr>
    </w:p>
    <w:p>
      <w:pPr>
        <w:pStyle w:val="2"/>
        <w:rPr>
          <w:rFonts w:hint="eastAsia" w:ascii="方正黑体简体" w:eastAsia="方正黑体简体"/>
          <w:color w:val="FF0000"/>
          <w:sz w:val="44"/>
          <w:lang w:eastAsia="zh-CN"/>
        </w:rPr>
      </w:pPr>
    </w:p>
    <w:p>
      <w:pPr>
        <w:pStyle w:val="2"/>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r>
        <w:rPr>
          <w:rFonts w:hint="eastAsia" w:ascii="方正黑体简体" w:eastAsia="方正黑体简体"/>
          <w:color w:val="FF0000"/>
          <w:sz w:val="44"/>
          <w:lang w:eastAsia="zh-CN"/>
        </w:rPr>
        <w:drawing>
          <wp:inline distT="0" distB="0" distL="114300" distR="114300">
            <wp:extent cx="5600700" cy="2828290"/>
            <wp:effectExtent l="0" t="0" r="0" b="10160"/>
            <wp:docPr id="29" name="图片 29" descr="总队汇总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总队汇总7"/>
                    <pic:cNvPicPr>
                      <a:picLocks noChangeAspect="true"/>
                    </pic:cNvPicPr>
                  </pic:nvPicPr>
                  <pic:blipFill>
                    <a:blip r:embed="rId15"/>
                    <a:stretch>
                      <a:fillRect/>
                    </a:stretch>
                  </pic:blipFill>
                  <pic:spPr>
                    <a:xfrm>
                      <a:off x="0" y="0"/>
                      <a:ext cx="5600700" cy="2828290"/>
                    </a:xfrm>
                    <a:prstGeom prst="rect">
                      <a:avLst/>
                    </a:prstGeom>
                  </pic:spPr>
                </pic:pic>
              </a:graphicData>
            </a:graphic>
          </wp:inline>
        </w:drawing>
      </w: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r>
        <w:rPr>
          <w:rFonts w:hint="eastAsia" w:ascii="方正黑体简体" w:eastAsia="方正黑体简体"/>
          <w:color w:val="FF0000"/>
          <w:sz w:val="44"/>
          <w:lang w:eastAsia="zh-CN"/>
        </w:rPr>
        <w:drawing>
          <wp:inline distT="0" distB="0" distL="114300" distR="114300">
            <wp:extent cx="5612765" cy="1861820"/>
            <wp:effectExtent l="0" t="0" r="6985" b="5080"/>
            <wp:docPr id="21" name="图片 21" descr="总队汇总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总队汇总8"/>
                    <pic:cNvPicPr>
                      <a:picLocks noChangeAspect="true"/>
                    </pic:cNvPicPr>
                  </pic:nvPicPr>
                  <pic:blipFill>
                    <a:blip r:embed="rId16"/>
                    <a:stretch>
                      <a:fillRect/>
                    </a:stretch>
                  </pic:blipFill>
                  <pic:spPr>
                    <a:xfrm>
                      <a:off x="0" y="0"/>
                      <a:ext cx="5612765" cy="1861820"/>
                    </a:xfrm>
                    <a:prstGeom prst="rect">
                      <a:avLst/>
                    </a:prstGeom>
                  </pic:spPr>
                </pic:pic>
              </a:graphicData>
            </a:graphic>
          </wp:inline>
        </w:drawing>
      </w: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p>
    <w:p>
      <w:pPr>
        <w:spacing w:line="240" w:lineRule="auto"/>
        <w:rPr>
          <w:rFonts w:hint="eastAsia" w:ascii="方正黑体简体" w:eastAsia="方正黑体简体"/>
          <w:color w:val="FF0000"/>
          <w:sz w:val="44"/>
          <w:lang w:eastAsia="zh-CN"/>
        </w:rPr>
      </w:pPr>
      <w:r>
        <w:rPr>
          <w:rFonts w:hint="eastAsia" w:ascii="方正黑体简体" w:eastAsia="方正黑体简体"/>
          <w:color w:val="FF0000"/>
          <w:sz w:val="44"/>
          <w:lang w:eastAsia="zh-CN"/>
        </w:rPr>
        <w:drawing>
          <wp:inline distT="0" distB="0" distL="114300" distR="114300">
            <wp:extent cx="5608955" cy="2780030"/>
            <wp:effectExtent l="0" t="0" r="10795" b="1270"/>
            <wp:docPr id="19" name="图片 19" descr="总队汇总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总队汇总9"/>
                    <pic:cNvPicPr>
                      <a:picLocks noChangeAspect="true"/>
                    </pic:cNvPicPr>
                  </pic:nvPicPr>
                  <pic:blipFill>
                    <a:blip r:embed="rId17"/>
                    <a:stretch>
                      <a:fillRect/>
                    </a:stretch>
                  </pic:blipFill>
                  <pic:spPr>
                    <a:xfrm>
                      <a:off x="0" y="0"/>
                      <a:ext cx="5608955" cy="2780030"/>
                    </a:xfrm>
                    <a:prstGeom prst="rect">
                      <a:avLst/>
                    </a:prstGeom>
                  </pic:spPr>
                </pic:pic>
              </a:graphicData>
            </a:graphic>
          </wp:inline>
        </w:drawing>
      </w:r>
    </w:p>
    <w:p>
      <w:pPr>
        <w:spacing w:line="578" w:lineRule="exact"/>
        <w:rPr>
          <w:rFonts w:ascii="方正黑体简体" w:eastAsia="方正黑体简体"/>
          <w:color w:val="FF0000"/>
          <w:sz w:val="44"/>
        </w:rPr>
      </w:pPr>
    </w:p>
    <w:p>
      <w:pPr>
        <w:spacing w:line="578" w:lineRule="exact"/>
        <w:rPr>
          <w:rFonts w:ascii="方正黑体简体" w:eastAsia="方正黑体简体"/>
          <w:color w:val="FF0000"/>
          <w:sz w:val="44"/>
        </w:rPr>
      </w:pPr>
    </w:p>
    <w:p>
      <w:pPr>
        <w:spacing w:line="578" w:lineRule="exact"/>
        <w:rPr>
          <w:rFonts w:ascii="方正黑体简体" w:eastAsia="方正黑体简体"/>
          <w:color w:val="FF0000"/>
          <w:sz w:val="44"/>
        </w:rPr>
      </w:pPr>
    </w:p>
    <w:p>
      <w:pPr>
        <w:spacing w:line="578" w:lineRule="exact"/>
        <w:rPr>
          <w:rFonts w:ascii="方正黑体简体" w:eastAsia="方正黑体简体"/>
          <w:color w:val="FF0000"/>
          <w:sz w:val="44"/>
        </w:rPr>
      </w:pPr>
    </w:p>
    <w:p>
      <w:pPr>
        <w:spacing w:line="578" w:lineRule="exact"/>
        <w:rPr>
          <w:rFonts w:ascii="方正黑体简体" w:eastAsia="方正黑体简体"/>
          <w:color w:val="FF0000"/>
          <w:sz w:val="44"/>
        </w:rPr>
      </w:pPr>
    </w:p>
    <w:p>
      <w:pPr>
        <w:pStyle w:val="2"/>
        <w:rPr>
          <w:rFonts w:ascii="方正黑体简体" w:eastAsia="方正黑体简体"/>
          <w:color w:val="FF0000"/>
          <w:sz w:val="44"/>
        </w:rPr>
      </w:pPr>
    </w:p>
    <w:p>
      <w:pPr>
        <w:pStyle w:val="2"/>
        <w:rPr>
          <w:rFonts w:ascii="方正黑体简体" w:eastAsia="方正黑体简体"/>
          <w:color w:val="FF0000"/>
          <w:sz w:val="44"/>
        </w:rPr>
      </w:pPr>
    </w:p>
    <w:p>
      <w:pPr>
        <w:pStyle w:val="2"/>
        <w:rPr>
          <w:rFonts w:ascii="方正黑体简体" w:eastAsia="方正黑体简体"/>
          <w:color w:val="FF0000"/>
          <w:sz w:val="44"/>
        </w:rPr>
      </w:pPr>
    </w:p>
    <w:p>
      <w:pPr>
        <w:pStyle w:val="2"/>
        <w:rPr>
          <w:rFonts w:ascii="方正黑体简体" w:eastAsia="方正黑体简体"/>
          <w:color w:val="FF0000"/>
          <w:sz w:val="44"/>
        </w:rPr>
      </w:pPr>
    </w:p>
    <w:p>
      <w:pPr>
        <w:pStyle w:val="2"/>
        <w:rPr>
          <w:rFonts w:ascii="方正黑体简体" w:eastAsia="方正黑体简体"/>
          <w:color w:val="FF0000"/>
          <w:sz w:val="44"/>
        </w:rPr>
      </w:pPr>
    </w:p>
    <w:p>
      <w:pPr>
        <w:spacing w:line="578" w:lineRule="exact"/>
        <w:rPr>
          <w:rFonts w:ascii="方正黑体简体" w:eastAsia="方正黑体简体"/>
          <w:color w:val="FF0000"/>
          <w:sz w:val="44"/>
        </w:rPr>
      </w:pPr>
    </w:p>
    <w:p>
      <w:pPr>
        <w:pStyle w:val="2"/>
        <w:rPr>
          <w:rFonts w:ascii="方正黑体简体" w:eastAsia="方正黑体简体"/>
          <w:color w:val="FF0000"/>
          <w:sz w:val="44"/>
        </w:rPr>
      </w:pPr>
    </w:p>
    <w:p>
      <w:pPr>
        <w:pStyle w:val="2"/>
        <w:rPr>
          <w:rFonts w:ascii="方正黑体简体" w:eastAsia="方正黑体简体"/>
          <w:color w:val="FF0000"/>
          <w:sz w:val="44"/>
        </w:rPr>
      </w:pPr>
    </w:p>
    <w:p>
      <w:pPr>
        <w:spacing w:line="578" w:lineRule="exact"/>
        <w:rPr>
          <w:rFonts w:ascii="方正黑体简体" w:eastAsia="方正黑体简体"/>
          <w:color w:val="FF0000"/>
          <w:sz w:val="44"/>
        </w:rPr>
      </w:pPr>
    </w:p>
    <w:p>
      <w:pPr>
        <w:spacing w:line="578" w:lineRule="exact"/>
        <w:rPr>
          <w:color w:val="FF0000"/>
        </w:rPr>
      </w:pPr>
      <w:r>
        <w:rPr>
          <w:rFonts w:hint="eastAsia" w:eastAsia="黑体"/>
          <w:sz w:val="44"/>
          <w:szCs w:val="44"/>
        </w:rPr>
        <mc:AlternateContent>
          <mc:Choice Requires="wps">
            <w:drawing>
              <wp:anchor distT="0" distB="0" distL="114300" distR="114300" simplePos="0" relativeHeight="251680768" behindDoc="0" locked="0" layoutInCell="1" allowOverlap="1">
                <wp:simplePos x="0" y="0"/>
                <wp:positionH relativeFrom="column">
                  <wp:posOffset>-1018540</wp:posOffset>
                </wp:positionH>
                <wp:positionV relativeFrom="paragraph">
                  <wp:posOffset>20955</wp:posOffset>
                </wp:positionV>
                <wp:extent cx="7772400" cy="1929765"/>
                <wp:effectExtent l="4445" t="4445" r="14605" b="8890"/>
                <wp:wrapNone/>
                <wp:docPr id="8" name="文本框 8"/>
                <wp:cNvGraphicFramePr/>
                <a:graphic xmlns:a="http://schemas.openxmlformats.org/drawingml/2006/main">
                  <a:graphicData uri="http://schemas.microsoft.com/office/word/2010/wordprocessingShape">
                    <wps:wsp>
                      <wps:cNvSpPr txBox="true"/>
                      <wps:spPr>
                        <a:xfrm>
                          <a:off x="0" y="0"/>
                          <a:ext cx="7772219" cy="1929765"/>
                        </a:xfrm>
                        <a:prstGeom prst="rect">
                          <a:avLst/>
                        </a:prstGeom>
                        <a:solidFill>
                          <a:srgbClr val="92D050">
                            <a:alpha val="88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1040" w:firstLineChars="200"/>
                              <w:rPr>
                                <w:rFonts w:ascii="方正黑体简体" w:eastAsia="方正黑体简体"/>
                                <w:sz w:val="52"/>
                              </w:rPr>
                            </w:pPr>
                            <w:r>
                              <w:rPr>
                                <w:rFonts w:hint="eastAsia" w:ascii="方正黑体简体" w:eastAsia="方正黑体简体"/>
                                <w:sz w:val="52"/>
                              </w:rPr>
                              <w:t>第三部分</w:t>
                            </w:r>
                          </w:p>
                          <w:p>
                            <w:pPr>
                              <w:jc w:val="center"/>
                              <w:rPr>
                                <w:rFonts w:eastAsia="方正黑体简体"/>
                                <w:sz w:val="72"/>
                              </w:rPr>
                            </w:pPr>
                            <w:r>
                              <w:rPr>
                                <w:rFonts w:hint="eastAsia" w:eastAsia="方正黑体简体"/>
                                <w:sz w:val="72"/>
                              </w:rPr>
                              <w:t>202</w:t>
                            </w:r>
                            <w:r>
                              <w:rPr>
                                <w:rFonts w:hint="eastAsia" w:eastAsia="方正黑体简体"/>
                                <w:sz w:val="72"/>
                                <w:lang w:val="en-US" w:eastAsia="zh-CN"/>
                              </w:rPr>
                              <w:t>1</w:t>
                            </w:r>
                            <w:r>
                              <w:rPr>
                                <w:rFonts w:hint="eastAsia" w:eastAsia="方正黑体简体"/>
                                <w:sz w:val="72"/>
                              </w:rPr>
                              <w:t>年</w:t>
                            </w:r>
                            <w:r>
                              <w:rPr>
                                <w:rFonts w:eastAsia="方正黑体简体"/>
                                <w:sz w:val="72"/>
                              </w:rPr>
                              <w:t>度部门决算情况说明</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0.2pt;margin-top:1.65pt;height:151.95pt;width:612pt;z-index:251680768;mso-width-relative:page;mso-height-relative:page;" fillcolor="#92D050" filled="t" stroked="t" coordsize="21600,21600" o:gfxdata="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1wGy2QAAAAsBAAAPAAAAAAAAAAEAIAAAADgAAABkcnMv&#10;ZG93bnJldi54bWxQSwECFAAUAAAACACHTuJAcLQVZV4CAACrBAAADgAAAAAAAAABACAAAAA+AQAA&#10;ZHJzL2Uyb0RvYy54bWxQSwUGAAAAAAYABgBZAQAADgYAAAAA&#10;">
                <v:fill on="t" opacity="57671f" focussize="0,0"/>
                <v:stroke weight="0.5pt" color="#000000 [3204]" joinstyle="round"/>
                <v:imagedata o:title=""/>
                <o:lock v:ext="edit" aspectratio="f"/>
                <v:textbox>
                  <w:txbxContent>
                    <w:p>
                      <w:pPr>
                        <w:ind w:firstLine="1040" w:firstLineChars="200"/>
                        <w:rPr>
                          <w:rFonts w:ascii="方正黑体简体" w:eastAsia="方正黑体简体"/>
                          <w:sz w:val="52"/>
                        </w:rPr>
                      </w:pPr>
                      <w:r>
                        <w:rPr>
                          <w:rFonts w:hint="eastAsia" w:ascii="方正黑体简体" w:eastAsia="方正黑体简体"/>
                          <w:sz w:val="52"/>
                        </w:rPr>
                        <w:t>第三部分</w:t>
                      </w:r>
                    </w:p>
                    <w:p>
                      <w:pPr>
                        <w:jc w:val="center"/>
                        <w:rPr>
                          <w:rFonts w:eastAsia="方正黑体简体"/>
                          <w:sz w:val="72"/>
                        </w:rPr>
                      </w:pPr>
                      <w:r>
                        <w:rPr>
                          <w:rFonts w:hint="eastAsia" w:eastAsia="方正黑体简体"/>
                          <w:sz w:val="72"/>
                        </w:rPr>
                        <w:t>202</w:t>
                      </w:r>
                      <w:r>
                        <w:rPr>
                          <w:rFonts w:hint="eastAsia" w:eastAsia="方正黑体简体"/>
                          <w:sz w:val="72"/>
                          <w:lang w:val="en-US" w:eastAsia="zh-CN"/>
                        </w:rPr>
                        <w:t>1</w:t>
                      </w:r>
                      <w:r>
                        <w:rPr>
                          <w:rFonts w:hint="eastAsia" w:eastAsia="方正黑体简体"/>
                          <w:sz w:val="72"/>
                        </w:rPr>
                        <w:t>年</w:t>
                      </w:r>
                      <w:r>
                        <w:rPr>
                          <w:rFonts w:eastAsia="方正黑体简体"/>
                          <w:sz w:val="72"/>
                        </w:rPr>
                        <w:t>度部门决算情况说明</w:t>
                      </w:r>
                    </w:p>
                  </w:txbxContent>
                </v:textbox>
              </v:shape>
            </w:pict>
          </mc:Fallback>
        </mc:AlternateContent>
      </w:r>
    </w:p>
    <w:p>
      <w:pPr>
        <w:spacing w:line="578" w:lineRule="exact"/>
        <w:rPr>
          <w:color w:val="FF0000"/>
        </w:rPr>
      </w:pPr>
    </w:p>
    <w:p>
      <w:pPr>
        <w:spacing w:line="578" w:lineRule="exact"/>
        <w:rPr>
          <w:color w:val="FF0000"/>
        </w:rPr>
      </w:pPr>
    </w:p>
    <w:p>
      <w:pPr>
        <w:spacing w:line="578" w:lineRule="exact"/>
        <w:rPr>
          <w:color w:val="FF0000"/>
        </w:rPr>
      </w:pPr>
    </w:p>
    <w:p>
      <w:pPr>
        <w:spacing w:line="578" w:lineRule="exact"/>
        <w:rPr>
          <w:color w:val="FF0000"/>
        </w:rPr>
      </w:pPr>
    </w:p>
    <w:p>
      <w:pPr>
        <w:spacing w:line="578" w:lineRule="exact"/>
        <w:outlineLvl w:val="0"/>
        <w:rPr>
          <w:rStyle w:val="19"/>
          <w:rFonts w:hint="default" w:ascii="方正黑体简体" w:eastAsia="方正黑体简体"/>
          <w:bCs/>
          <w:color w:val="auto"/>
          <w:sz w:val="40"/>
          <w:szCs w:val="40"/>
          <w:u w:val="none"/>
          <w:lang w:val="en"/>
        </w:rPr>
      </w:pPr>
    </w:p>
    <w:p>
      <w:pPr>
        <w:spacing w:line="578" w:lineRule="exact"/>
        <w:outlineLvl w:val="0"/>
        <w:rPr>
          <w:rStyle w:val="19"/>
          <w:rFonts w:hint="default" w:ascii="方正黑体简体" w:eastAsia="方正黑体简体"/>
          <w:bCs/>
          <w:color w:val="auto"/>
          <w:sz w:val="40"/>
          <w:szCs w:val="40"/>
          <w:u w:val="none"/>
          <w:lang w:val="en"/>
        </w:rPr>
      </w:pPr>
    </w:p>
    <w:p>
      <w:pPr>
        <w:spacing w:line="578" w:lineRule="exact"/>
        <w:outlineLvl w:val="0"/>
        <w:rPr>
          <w:rStyle w:val="19"/>
          <w:rFonts w:hint="default" w:ascii="方正黑体简体" w:eastAsia="方正黑体简体"/>
          <w:bCs/>
          <w:color w:val="auto"/>
          <w:sz w:val="40"/>
          <w:szCs w:val="40"/>
          <w:u w:val="none"/>
          <w:lang w:val="en"/>
        </w:rPr>
      </w:pPr>
    </w:p>
    <w:p>
      <w:pPr>
        <w:spacing w:line="578" w:lineRule="exact"/>
        <w:outlineLvl w:val="0"/>
        <w:rPr>
          <w:rStyle w:val="19"/>
          <w:rFonts w:hint="default" w:ascii="方正黑体简体" w:eastAsia="方正黑体简体"/>
          <w:bCs/>
          <w:color w:val="auto"/>
          <w:sz w:val="40"/>
          <w:szCs w:val="40"/>
          <w:u w:val="none"/>
          <w:lang w:val="en"/>
        </w:rPr>
      </w:pPr>
    </w:p>
    <w:p>
      <w:pPr>
        <w:spacing w:line="578" w:lineRule="exact"/>
        <w:outlineLvl w:val="0"/>
        <w:rPr>
          <w:rStyle w:val="19"/>
          <w:rFonts w:hint="default" w:ascii="方正黑体简体" w:eastAsia="方正黑体简体"/>
          <w:bCs/>
          <w:color w:val="auto"/>
          <w:sz w:val="40"/>
          <w:szCs w:val="40"/>
          <w:u w:val="none"/>
          <w:lang w:val="en"/>
        </w:rPr>
      </w:pPr>
    </w:p>
    <w:p>
      <w:pPr>
        <w:spacing w:line="578" w:lineRule="exact"/>
        <w:outlineLvl w:val="0"/>
        <w:rPr>
          <w:rStyle w:val="19"/>
          <w:rFonts w:hint="default" w:ascii="方正黑体简体" w:eastAsia="方正黑体简体"/>
          <w:bCs/>
          <w:color w:val="auto"/>
          <w:sz w:val="40"/>
          <w:szCs w:val="40"/>
          <w:u w:val="none"/>
          <w:lang w:val="en"/>
        </w:rPr>
      </w:pPr>
    </w:p>
    <w:p>
      <w:pPr>
        <w:spacing w:line="578" w:lineRule="exact"/>
        <w:outlineLvl w:val="0"/>
        <w:rPr>
          <w:rStyle w:val="19"/>
          <w:rFonts w:hint="default" w:ascii="方正黑体简体" w:eastAsia="方正黑体简体"/>
          <w:bCs/>
          <w:color w:val="auto"/>
          <w:sz w:val="40"/>
          <w:szCs w:val="40"/>
          <w:u w:val="none"/>
          <w:lang w:val="en"/>
        </w:rPr>
      </w:pPr>
    </w:p>
    <w:p>
      <w:pPr>
        <w:spacing w:line="578" w:lineRule="exact"/>
        <w:outlineLvl w:val="0"/>
        <w:rPr>
          <w:rStyle w:val="19"/>
          <w:rFonts w:hint="default" w:ascii="方正黑体简体" w:eastAsia="方正黑体简体"/>
          <w:bCs/>
          <w:color w:val="auto"/>
          <w:sz w:val="40"/>
          <w:szCs w:val="40"/>
          <w:u w:val="none"/>
          <w:lang w:val="en"/>
        </w:rPr>
      </w:pPr>
    </w:p>
    <w:p>
      <w:pPr>
        <w:spacing w:line="578" w:lineRule="exact"/>
        <w:outlineLvl w:val="0"/>
        <w:rPr>
          <w:rStyle w:val="19"/>
          <w:rFonts w:hint="default" w:ascii="方正黑体简体" w:eastAsia="方正黑体简体"/>
          <w:bCs/>
          <w:color w:val="auto"/>
          <w:sz w:val="40"/>
          <w:szCs w:val="40"/>
          <w:u w:val="none"/>
          <w:lang w:val="en"/>
        </w:rPr>
      </w:pPr>
    </w:p>
    <w:p>
      <w:pPr>
        <w:spacing w:line="578" w:lineRule="exact"/>
        <w:outlineLvl w:val="0"/>
        <w:rPr>
          <w:rStyle w:val="19"/>
          <w:rFonts w:hint="default" w:ascii="方正黑体简体" w:eastAsia="方正黑体简体"/>
          <w:bCs/>
          <w:color w:val="auto"/>
          <w:sz w:val="40"/>
          <w:szCs w:val="40"/>
          <w:u w:val="none"/>
          <w:lang w:val="en"/>
        </w:rPr>
      </w:pPr>
    </w:p>
    <w:p>
      <w:pPr>
        <w:spacing w:line="578" w:lineRule="exact"/>
        <w:outlineLvl w:val="0"/>
        <w:rPr>
          <w:rStyle w:val="19"/>
          <w:rFonts w:hint="default" w:ascii="方正黑体简体" w:eastAsia="方正黑体简体"/>
          <w:bCs/>
          <w:color w:val="auto"/>
          <w:sz w:val="40"/>
          <w:szCs w:val="40"/>
          <w:u w:val="none"/>
          <w:lang w:val="en"/>
        </w:rPr>
      </w:pPr>
    </w:p>
    <w:p>
      <w:pPr>
        <w:spacing w:line="578" w:lineRule="exact"/>
        <w:outlineLvl w:val="0"/>
        <w:rPr>
          <w:sz w:val="40"/>
          <w:szCs w:val="40"/>
        </w:rPr>
      </w:pPr>
      <w:r>
        <w:rPr>
          <w:rFonts w:hint="eastAsia" w:ascii="方正黑体简体" w:eastAsia="方正黑体简体"/>
          <w:bCs/>
          <w:sz w:val="40"/>
          <w:szCs w:val="40"/>
        </w:rPr>
        <mc:AlternateContent>
          <mc:Choice Requires="wps">
            <w:drawing>
              <wp:anchor distT="0" distB="0" distL="114300" distR="114300" simplePos="0" relativeHeight="251691008" behindDoc="0" locked="0" layoutInCell="1" allowOverlap="1">
                <wp:simplePos x="0" y="0"/>
                <wp:positionH relativeFrom="column">
                  <wp:posOffset>4617085</wp:posOffset>
                </wp:positionH>
                <wp:positionV relativeFrom="paragraph">
                  <wp:posOffset>127000</wp:posOffset>
                </wp:positionV>
                <wp:extent cx="163195" cy="173990"/>
                <wp:effectExtent l="19050" t="0" r="27305" b="16510"/>
                <wp:wrapNone/>
                <wp:docPr id="13" name="燕尾形 13"/>
                <wp:cNvGraphicFramePr/>
                <a:graphic xmlns:a="http://schemas.openxmlformats.org/drawingml/2006/main">
                  <a:graphicData uri="http://schemas.microsoft.com/office/word/2010/wordprocessingShape">
                    <wps:wsp>
                      <wps:cNvSpPr/>
                      <wps:spPr>
                        <a:xfrm>
                          <a:off x="0" y="0"/>
                          <a:ext cx="163195" cy="173990"/>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55" type="#_x0000_t55" style="position:absolute;left:0pt;margin-left:363.55pt;margin-top:10pt;height:13.7pt;width:12.85pt;z-index:251691008;v-text-anchor:middle;mso-width-relative:page;mso-height-relative:page;" fillcolor="#000000 [3213]" filled="t" stroked="t" coordsize="21600,21600" o:gfxdata="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HzB4LnVAAAACQEAAA8AAAAAAAAAAQAgAAAAOAAAAGRycy9kb3ducmV2LnhtbFBL&#10;AQIUABQAAAAIAIdO4kAe3ilqVQIAAKUEAAAOAAAAAAAAAAEAIAAAADoBAABkcnMvZTJvRG9jLnht&#10;bFBLBQYAAAAABgAGAFkBAAABBgAAAAA=&#10;" adj="10800">
                <v:fill on="t" focussize="0,0"/>
                <v:stroke weight="2pt" color="#000000 [3213]" joinstyle="round"/>
                <v:imagedata o:title=""/>
                <o:lock v:ext="edit" aspectratio="f"/>
              </v:shape>
            </w:pict>
          </mc:Fallback>
        </mc:AlternateContent>
      </w:r>
      <w:r>
        <w:rPr>
          <w:rStyle w:val="19"/>
          <w:rFonts w:hint="default" w:ascii="方正黑体简体" w:eastAsia="方正黑体简体"/>
          <w:bCs/>
          <w:color w:val="auto"/>
          <w:sz w:val="40"/>
          <w:szCs w:val="40"/>
          <w:u w:val="none"/>
          <w:lang w:val="en"/>
        </w:rPr>
        <w:t>福建省森林消防总队</w:t>
      </w:r>
      <w:r>
        <w:rPr>
          <w:rStyle w:val="19"/>
          <w:rFonts w:hint="eastAsia" w:eastAsia="方正黑体简体"/>
          <w:bCs/>
          <w:color w:val="auto"/>
          <w:sz w:val="40"/>
          <w:szCs w:val="40"/>
          <w:u w:val="none"/>
        </w:rPr>
        <w:t>202</w:t>
      </w:r>
      <w:r>
        <w:rPr>
          <w:rStyle w:val="19"/>
          <w:rFonts w:hint="eastAsia" w:eastAsia="方正黑体简体"/>
          <w:bCs/>
          <w:color w:val="auto"/>
          <w:sz w:val="40"/>
          <w:szCs w:val="40"/>
          <w:u w:val="none"/>
          <w:lang w:val="en-US" w:eastAsia="zh-CN"/>
        </w:rPr>
        <w:t>1</w:t>
      </w:r>
      <w:r>
        <w:rPr>
          <w:rStyle w:val="19"/>
          <w:rFonts w:hint="eastAsia" w:eastAsia="方正黑体简体"/>
          <w:bCs/>
          <w:color w:val="auto"/>
          <w:sz w:val="40"/>
          <w:szCs w:val="40"/>
          <w:u w:val="none"/>
        </w:rPr>
        <w:t>年</w:t>
      </w:r>
      <w:r>
        <w:rPr>
          <w:rStyle w:val="19"/>
          <w:rFonts w:hint="eastAsia" w:ascii="方正黑体简体" w:eastAsia="方正黑体简体"/>
          <w:bCs/>
          <w:color w:val="auto"/>
          <w:sz w:val="40"/>
          <w:szCs w:val="40"/>
          <w:u w:val="none"/>
        </w:rPr>
        <w:t xml:space="preserve">度部门决算   </w:t>
      </w:r>
      <w:r>
        <w:rPr>
          <w:sz w:val="40"/>
          <w:szCs w:val="40"/>
        </w:rPr>
        <w:drawing>
          <wp:anchor distT="0" distB="0" distL="114300" distR="114300" simplePos="0" relativeHeight="251689984" behindDoc="0" locked="0" layoutInCell="1" allowOverlap="1">
            <wp:simplePos x="0" y="0"/>
            <wp:positionH relativeFrom="column">
              <wp:posOffset>7548245</wp:posOffset>
            </wp:positionH>
            <wp:positionV relativeFrom="paragraph">
              <wp:posOffset>-1604645</wp:posOffset>
            </wp:positionV>
            <wp:extent cx="5177790" cy="8827770"/>
            <wp:effectExtent l="0" t="0" r="3810" b="0"/>
            <wp:wrapNone/>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5177790" cy="8827770"/>
                    </a:xfrm>
                    <a:prstGeom prst="rect">
                      <a:avLst/>
                    </a:prstGeom>
                    <a:noFill/>
                    <a:ln>
                      <a:noFill/>
                    </a:ln>
                  </pic:spPr>
                </pic:pic>
              </a:graphicData>
            </a:graphic>
          </wp:anchor>
        </w:drawing>
      </w:r>
      <w:r>
        <w:rPr>
          <w:rStyle w:val="19"/>
          <w:rFonts w:hint="eastAsia" w:ascii="方正黑体简体" w:eastAsia="方正黑体简体"/>
          <w:bCs/>
          <w:color w:val="auto"/>
          <w:sz w:val="40"/>
          <w:szCs w:val="40"/>
          <w:u w:val="none"/>
        </w:rPr>
        <w:t>情况说明</w:t>
      </w:r>
    </w:p>
    <w:p>
      <w:pPr>
        <w:spacing w:line="578" w:lineRule="exact"/>
        <w:ind w:firstLine="640" w:firstLineChars="200"/>
        <w:jc w:val="left"/>
        <w:rPr>
          <w:rFonts w:ascii="方正楷体简体" w:hAnsi="楷体_GB2312" w:eastAsia="方正楷体简体"/>
          <w:sz w:val="32"/>
          <w:szCs w:val="32"/>
          <w:lang w:bidi="ar"/>
        </w:rPr>
      </w:pPr>
    </w:p>
    <w:p>
      <w:pPr>
        <w:pStyle w:val="27"/>
        <w:spacing w:line="578" w:lineRule="exact"/>
        <w:ind w:firstLine="600" w:firstLineChars="200"/>
        <w:outlineLvl w:val="1"/>
        <w:rPr>
          <w:rFonts w:ascii="方正黑体简体" w:eastAsia="方正黑体简体" w:cs="Times New Roman"/>
          <w:sz w:val="30"/>
          <w:szCs w:val="30"/>
        </w:rPr>
      </w:pPr>
      <w:r>
        <w:rPr>
          <w:rFonts w:hint="eastAsia" w:ascii="方正黑体简体" w:eastAsia="方正黑体简体" w:cs="Times New Roman"/>
          <w:sz w:val="30"/>
          <w:szCs w:val="30"/>
        </w:rPr>
        <w:t>一、收入支出决算总体情况说明</w:t>
      </w:r>
    </w:p>
    <w:p>
      <w:pPr>
        <w:pStyle w:val="27"/>
        <w:spacing w:line="578" w:lineRule="exact"/>
        <w:ind w:firstLine="640" w:firstLineChars="200"/>
        <w:jc w:val="both"/>
        <w:rPr>
          <w:rFonts w:hint="eastAsia" w:ascii="Times New Roman" w:eastAsia="方正仿宋简体" w:cs="Times New Roman"/>
          <w:sz w:val="32"/>
          <w:szCs w:val="32"/>
        </w:rPr>
      </w:pPr>
      <w:r>
        <w:rPr>
          <w:rFonts w:hint="eastAsia" w:ascii="Times New Roman" w:eastAsia="方正仿宋简体" w:cs="Times New Roman"/>
          <w:sz w:val="32"/>
          <w:szCs w:val="32"/>
        </w:rPr>
        <w:t>202</w:t>
      </w:r>
      <w:r>
        <w:rPr>
          <w:rFonts w:hint="eastAsia" w:ascii="Times New Roman" w:eastAsia="方正仿宋简体" w:cs="Times New Roman"/>
          <w:sz w:val="32"/>
          <w:szCs w:val="32"/>
          <w:lang w:val="en-US" w:eastAsia="zh-CN"/>
        </w:rPr>
        <w:t>1</w:t>
      </w:r>
      <w:r>
        <w:rPr>
          <w:rFonts w:hint="eastAsia" w:ascii="Times New Roman" w:eastAsia="方正仿宋简体" w:cs="Times New Roman"/>
          <w:sz w:val="32"/>
          <w:szCs w:val="32"/>
        </w:rPr>
        <w:t>年</w:t>
      </w:r>
      <w:r>
        <w:rPr>
          <w:rFonts w:ascii="Times New Roman" w:eastAsia="方正仿宋简体" w:cs="Times New Roman"/>
          <w:sz w:val="32"/>
          <w:szCs w:val="32"/>
        </w:rPr>
        <w:t>度收、支</w:t>
      </w:r>
      <w:r>
        <w:rPr>
          <w:rFonts w:hint="eastAsia" w:ascii="Times New Roman" w:eastAsia="方正仿宋简体" w:cs="Times New Roman"/>
          <w:sz w:val="32"/>
          <w:szCs w:val="32"/>
        </w:rPr>
        <w:t>总计124,625.18万元。与20</w:t>
      </w:r>
      <w:r>
        <w:rPr>
          <w:rFonts w:hint="eastAsia" w:ascii="Times New Roman" w:eastAsia="方正仿宋简体" w:cs="Times New Roman"/>
          <w:sz w:val="32"/>
          <w:szCs w:val="32"/>
          <w:lang w:val="en-US" w:eastAsia="zh-CN"/>
        </w:rPr>
        <w:t>20</w:t>
      </w:r>
      <w:r>
        <w:rPr>
          <w:rFonts w:hint="eastAsia" w:ascii="Times New Roman" w:eastAsia="方正仿宋简体" w:cs="Times New Roman"/>
          <w:sz w:val="32"/>
          <w:szCs w:val="32"/>
        </w:rPr>
        <w:t>年度113,403.87</w:t>
      </w:r>
    </w:p>
    <w:p>
      <w:pPr>
        <w:pStyle w:val="27"/>
        <w:spacing w:line="578" w:lineRule="exact"/>
        <w:jc w:val="both"/>
        <w:rPr>
          <w:rFonts w:ascii="Times New Roman" w:eastAsia="方正仿宋简体" w:cs="Times New Roman"/>
          <w:color w:val="auto"/>
          <w:sz w:val="32"/>
          <w:szCs w:val="32"/>
        </w:rPr>
      </w:pPr>
      <w:r>
        <w:rPr>
          <w:rFonts w:hint="eastAsia" w:ascii="Times New Roman" w:eastAsia="方正仿宋简体" w:cs="Times New Roman"/>
          <w:sz w:val="32"/>
          <w:szCs w:val="32"/>
          <w:lang w:eastAsia="zh-CN"/>
        </w:rPr>
        <w:t>万元</w:t>
      </w:r>
      <w:r>
        <w:rPr>
          <w:rFonts w:hint="eastAsia" w:ascii="Times New Roman" w:eastAsia="方正仿宋简体" w:cs="Times New Roman"/>
          <w:sz w:val="32"/>
          <w:szCs w:val="32"/>
        </w:rPr>
        <w:t>相比，收、支总计各</w:t>
      </w:r>
      <w:r>
        <w:rPr>
          <w:rFonts w:hint="eastAsia" w:ascii="Times New Roman" w:eastAsia="方正仿宋简体" w:cs="Times New Roman"/>
          <w:sz w:val="32"/>
          <w:szCs w:val="32"/>
          <w:lang w:eastAsia="zh-CN"/>
        </w:rPr>
        <w:t>增加</w:t>
      </w:r>
      <w:r>
        <w:rPr>
          <w:rFonts w:hint="eastAsia" w:ascii="Times New Roman" w:eastAsia="方正仿宋简体" w:cs="Times New Roman"/>
          <w:sz w:val="32"/>
          <w:szCs w:val="32"/>
          <w:lang w:val="en-US" w:eastAsia="zh-CN"/>
        </w:rPr>
        <w:t>11,221.31</w:t>
      </w:r>
      <w:r>
        <w:rPr>
          <w:rFonts w:hint="eastAsia" w:ascii="Times New Roman" w:eastAsia="方正仿宋简体" w:cs="Times New Roman"/>
          <w:sz w:val="32"/>
          <w:szCs w:val="32"/>
        </w:rPr>
        <w:t>万元，</w:t>
      </w:r>
      <w:r>
        <w:rPr>
          <w:rFonts w:hint="eastAsia" w:ascii="Times New Roman" w:eastAsia="方正仿宋简体" w:cs="Times New Roman"/>
          <w:sz w:val="32"/>
          <w:szCs w:val="32"/>
          <w:lang w:eastAsia="zh-CN"/>
        </w:rPr>
        <w:t>增加</w:t>
      </w:r>
      <w:r>
        <w:rPr>
          <w:rFonts w:hint="eastAsia" w:ascii="Times New Roman" w:eastAsia="方正仿宋简体" w:cs="Times New Roman"/>
          <w:sz w:val="32"/>
          <w:szCs w:val="32"/>
          <w:lang w:val="en-US" w:eastAsia="zh-CN"/>
        </w:rPr>
        <w:t>9.89</w:t>
      </w:r>
      <w:r>
        <w:rPr>
          <w:rFonts w:hint="eastAsia" w:ascii="Times New Roman" w:eastAsia="方正仿宋简体" w:cs="Times New Roman"/>
          <w:sz w:val="32"/>
          <w:szCs w:val="32"/>
        </w:rPr>
        <w:t>%，主</w:t>
      </w:r>
      <w:r>
        <w:rPr>
          <w:rFonts w:hint="eastAsia" w:ascii="Times New Roman" w:eastAsia="方正仿宋简体" w:cs="Times New Roman"/>
          <w:color w:val="auto"/>
          <w:sz w:val="32"/>
          <w:szCs w:val="32"/>
        </w:rPr>
        <w:t>要</w:t>
      </w:r>
      <w:r>
        <w:rPr>
          <w:rFonts w:hint="eastAsia" w:ascii="Times New Roman" w:eastAsia="方正仿宋简体" w:cs="Times New Roman"/>
          <w:color w:val="auto"/>
          <w:sz w:val="32"/>
          <w:szCs w:val="32"/>
          <w:lang w:val="en-US" w:eastAsia="zh-CN"/>
        </w:rPr>
        <w:t>上年结转资金较多</w:t>
      </w:r>
      <w:r>
        <w:rPr>
          <w:rFonts w:hint="eastAsia" w:ascii="Times New Roman" w:eastAsia="方正仿宋简体" w:cs="Times New Roman"/>
          <w:color w:val="auto"/>
          <w:sz w:val="32"/>
          <w:szCs w:val="32"/>
        </w:rPr>
        <w:t>，</w:t>
      </w:r>
      <w:r>
        <w:rPr>
          <w:rFonts w:hint="eastAsia" w:ascii="Times New Roman" w:eastAsia="方正仿宋简体" w:cs="Times New Roman"/>
          <w:color w:val="auto"/>
          <w:sz w:val="32"/>
          <w:szCs w:val="32"/>
          <w:lang w:eastAsia="zh-CN"/>
        </w:rPr>
        <w:t>省级各级财政安排资助经</w:t>
      </w:r>
      <w:bookmarkStart w:id="0" w:name="_GoBack"/>
      <w:bookmarkEnd w:id="0"/>
      <w:r>
        <w:rPr>
          <w:rFonts w:hint="eastAsia" w:ascii="Times New Roman" w:eastAsia="方正仿宋简体" w:cs="Times New Roman"/>
          <w:color w:val="auto"/>
          <w:sz w:val="32"/>
          <w:szCs w:val="32"/>
          <w:lang w:eastAsia="zh-CN"/>
        </w:rPr>
        <w:t>费，综合影响后</w:t>
      </w:r>
      <w:r>
        <w:rPr>
          <w:rFonts w:hint="eastAsia" w:ascii="Times New Roman" w:eastAsia="方正仿宋简体" w:cs="Times New Roman"/>
          <w:color w:val="auto"/>
          <w:sz w:val="32"/>
          <w:szCs w:val="32"/>
        </w:rPr>
        <w:t>收支总计金额</w:t>
      </w:r>
      <w:r>
        <w:rPr>
          <w:rFonts w:hint="eastAsia" w:ascii="Times New Roman" w:eastAsia="方正仿宋简体" w:cs="Times New Roman"/>
          <w:color w:val="auto"/>
          <w:sz w:val="32"/>
          <w:szCs w:val="32"/>
          <w:lang w:eastAsia="zh-CN"/>
        </w:rPr>
        <w:t>略有增加</w:t>
      </w:r>
      <w:r>
        <w:rPr>
          <w:rFonts w:ascii="Times New Roman" w:eastAsia="方正仿宋简体" w:cs="Times New Roman"/>
          <w:color w:val="auto"/>
          <w:sz w:val="32"/>
          <w:szCs w:val="32"/>
        </w:rPr>
        <w:t>。</w:t>
      </w:r>
    </w:p>
    <w:p>
      <w:pPr>
        <w:pStyle w:val="27"/>
        <w:jc w:val="center"/>
        <w:rPr>
          <w:rFonts w:hint="eastAsia" w:ascii="Times New Roman" w:eastAsia="方正仿宋简体" w:cs="Times New Roman"/>
          <w:sz w:val="32"/>
          <w:szCs w:val="32"/>
          <w:lang w:eastAsia="zh-CN"/>
        </w:rPr>
      </w:pPr>
      <w:r>
        <w:rPr>
          <w:rFonts w:hint="eastAsia" w:ascii="Times New Roman" w:eastAsia="方正仿宋简体" w:cs="Times New Roman"/>
          <w:sz w:val="32"/>
          <w:szCs w:val="32"/>
          <w:lang w:eastAsia="zh-CN"/>
        </w:rPr>
        <w:drawing>
          <wp:inline distT="0" distB="0" distL="114300" distR="114300">
            <wp:extent cx="5080000" cy="3810000"/>
            <wp:effectExtent l="4445" t="4445" r="2095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27"/>
        <w:spacing w:line="420" w:lineRule="exact"/>
        <w:jc w:val="center"/>
        <w:rPr>
          <w:rFonts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图1 收支总计变动情况</w:t>
      </w:r>
    </w:p>
    <w:p>
      <w:pPr>
        <w:pStyle w:val="27"/>
        <w:spacing w:line="420" w:lineRule="exact"/>
        <w:jc w:val="center"/>
        <w:rPr>
          <w:rFonts w:ascii="方正楷体简体" w:hAnsi="方正楷体简体" w:eastAsia="方正楷体简体" w:cs="方正楷体简体"/>
          <w:sz w:val="28"/>
          <w:szCs w:val="28"/>
        </w:rPr>
      </w:pPr>
      <w:r>
        <w:rPr>
          <w:rFonts w:hint="eastAsia" w:ascii="方正楷体简体" w:hAnsi="方正楷体简体" w:eastAsia="方正楷体简体" w:cs="方正楷体简体"/>
          <w:sz w:val="28"/>
          <w:szCs w:val="28"/>
        </w:rPr>
        <w:t>（金额单位：万元）</w:t>
      </w:r>
    </w:p>
    <w:p>
      <w:pPr>
        <w:pStyle w:val="27"/>
        <w:spacing w:line="578" w:lineRule="exact"/>
        <w:ind w:firstLine="600" w:firstLineChars="200"/>
        <w:outlineLvl w:val="1"/>
        <w:rPr>
          <w:rFonts w:ascii="方正黑体简体" w:eastAsia="方正黑体简体" w:cs="Times New Roman"/>
          <w:sz w:val="30"/>
          <w:szCs w:val="30"/>
        </w:rPr>
      </w:pPr>
      <w:r>
        <w:rPr>
          <w:rFonts w:hint="eastAsia" w:ascii="方正黑体简体" w:eastAsia="方正黑体简体" w:cs="Times New Roman"/>
          <w:sz w:val="30"/>
          <w:szCs w:val="30"/>
        </w:rPr>
        <w:t>二、收入决算情况说明</w:t>
      </w:r>
    </w:p>
    <w:p>
      <w:pPr>
        <w:spacing w:line="578" w:lineRule="exact"/>
        <w:ind w:firstLine="640" w:firstLineChars="200"/>
        <w:rPr>
          <w:rFonts w:hint="eastAsia" w:eastAsia="方正仿宋简体"/>
          <w:sz w:val="32"/>
          <w:szCs w:val="32"/>
        </w:rPr>
      </w:pPr>
      <w:r>
        <w:rPr>
          <w:rFonts w:eastAsia="方正仿宋简体"/>
          <w:sz w:val="32"/>
          <w:szCs w:val="32"/>
        </w:rPr>
        <w:t>本年收入合计</w:t>
      </w:r>
      <w:r>
        <w:rPr>
          <w:rFonts w:hint="eastAsia" w:eastAsia="方正仿宋简体"/>
          <w:sz w:val="32"/>
          <w:szCs w:val="32"/>
        </w:rPr>
        <w:t>50,809.66</w:t>
      </w:r>
      <w:r>
        <w:rPr>
          <w:rFonts w:eastAsia="方正仿宋简体"/>
          <w:sz w:val="32"/>
          <w:szCs w:val="32"/>
        </w:rPr>
        <w:t>万元，其中：</w:t>
      </w:r>
      <w:r>
        <w:rPr>
          <w:rFonts w:hint="eastAsia" w:eastAsia="方正仿宋简体"/>
          <w:sz w:val="32"/>
          <w:szCs w:val="32"/>
        </w:rPr>
        <w:t>财政</w:t>
      </w:r>
      <w:r>
        <w:rPr>
          <w:rFonts w:eastAsia="方正仿宋简体"/>
          <w:sz w:val="32"/>
          <w:szCs w:val="32"/>
        </w:rPr>
        <w:t>拨款收入</w:t>
      </w:r>
      <w:r>
        <w:rPr>
          <w:rFonts w:hint="eastAsia" w:eastAsia="方正仿宋简体"/>
          <w:sz w:val="32"/>
          <w:szCs w:val="32"/>
        </w:rPr>
        <w:t>31,900.00</w:t>
      </w:r>
    </w:p>
    <w:p>
      <w:pPr>
        <w:spacing w:line="578" w:lineRule="exact"/>
        <w:rPr>
          <w:rFonts w:hint="eastAsia" w:eastAsia="方正仿宋简体"/>
          <w:sz w:val="32"/>
          <w:szCs w:val="32"/>
          <w:lang w:val="en-US" w:eastAsia="zh-CN"/>
        </w:rPr>
      </w:pPr>
      <w:r>
        <w:rPr>
          <w:rFonts w:eastAsia="方正仿宋简体"/>
          <w:sz w:val="32"/>
          <w:szCs w:val="32"/>
        </w:rPr>
        <w:t>万元、占</w:t>
      </w:r>
      <w:r>
        <w:rPr>
          <w:rFonts w:hint="eastAsia" w:eastAsia="方正仿宋简体"/>
          <w:sz w:val="32"/>
          <w:szCs w:val="32"/>
          <w:lang w:val="en-US" w:eastAsia="zh-CN"/>
        </w:rPr>
        <w:t>62.78</w:t>
      </w:r>
      <w:r>
        <w:rPr>
          <w:rFonts w:eastAsia="方正仿宋简体"/>
          <w:sz w:val="32"/>
          <w:szCs w:val="32"/>
        </w:rPr>
        <w:t>%；其他收入</w:t>
      </w:r>
      <w:r>
        <w:rPr>
          <w:rFonts w:hint="eastAsia" w:eastAsia="方正仿宋简体"/>
          <w:bCs/>
          <w:color w:val="000000"/>
          <w:kern w:val="0"/>
          <w:sz w:val="32"/>
          <w:szCs w:val="28"/>
        </w:rPr>
        <w:t>18,909.66</w:t>
      </w:r>
      <w:r>
        <w:rPr>
          <w:rFonts w:eastAsia="方正仿宋简体"/>
          <w:sz w:val="32"/>
          <w:szCs w:val="32"/>
        </w:rPr>
        <w:t>万元、占</w:t>
      </w:r>
      <w:r>
        <w:rPr>
          <w:rFonts w:hint="eastAsia" w:eastAsia="方正仿宋简体"/>
          <w:sz w:val="32"/>
          <w:szCs w:val="32"/>
          <w:lang w:val="en-US" w:eastAsia="zh-CN"/>
        </w:rPr>
        <w:t>37.22</w:t>
      </w:r>
      <w:r>
        <w:rPr>
          <w:rFonts w:eastAsia="方正仿宋简体"/>
          <w:sz w:val="32"/>
          <w:szCs w:val="32"/>
        </w:rPr>
        <w:t>%</w:t>
      </w:r>
      <w:r>
        <w:rPr>
          <w:rFonts w:hint="eastAsia" w:eastAsia="方正仿宋简体"/>
          <w:sz w:val="32"/>
          <w:szCs w:val="32"/>
          <w:lang w:eastAsia="zh-CN"/>
        </w:rPr>
        <w:t>。</w:t>
      </w:r>
    </w:p>
    <w:p>
      <w:pPr>
        <w:autoSpaceDE w:val="0"/>
        <w:autoSpaceDN w:val="0"/>
        <w:adjustRightInd w:val="0"/>
        <w:ind w:firstLine="640" w:firstLineChars="200"/>
        <w:jc w:val="left"/>
        <w:rPr>
          <w:rFonts w:hint="eastAsia" w:eastAsia="方正仿宋简体"/>
          <w:color w:val="FF0000"/>
          <w:sz w:val="32"/>
          <w:szCs w:val="32"/>
          <w:lang w:eastAsia="zh-CN"/>
        </w:rPr>
      </w:pPr>
      <w:r>
        <w:rPr>
          <w:rFonts w:hint="eastAsia" w:eastAsia="方正仿宋简体"/>
          <w:color w:val="FF0000"/>
          <w:sz w:val="32"/>
          <w:szCs w:val="32"/>
          <w:lang w:eastAsia="zh-CN"/>
        </w:rPr>
        <w:drawing>
          <wp:inline distT="0" distB="0" distL="114300" distR="114300">
            <wp:extent cx="4627880" cy="3143885"/>
            <wp:effectExtent l="4445" t="4445" r="15875" b="1397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27"/>
        <w:spacing w:line="420" w:lineRule="exact"/>
        <w:jc w:val="center"/>
        <w:rPr>
          <w:rFonts w:hint="eastAsia" w:ascii="方正楷体简体" w:hAnsi="方正楷体简体" w:eastAsia="方正楷体简体" w:cs="方正楷体简体"/>
          <w:sz w:val="32"/>
          <w:szCs w:val="32"/>
          <w:lang w:eastAsia="zh-CN"/>
        </w:rPr>
      </w:pPr>
      <w:r>
        <w:rPr>
          <w:rFonts w:hint="eastAsia" w:ascii="方正楷体简体" w:hAnsi="方正楷体简体" w:eastAsia="方正楷体简体" w:cs="方正楷体简体"/>
          <w:sz w:val="32"/>
          <w:szCs w:val="32"/>
        </w:rPr>
        <w:t>图2 收入决算</w:t>
      </w:r>
      <w:r>
        <w:rPr>
          <w:rFonts w:hint="eastAsia" w:ascii="方正楷体简体" w:hAnsi="方正楷体简体" w:eastAsia="方正楷体简体" w:cs="方正楷体简体"/>
          <w:sz w:val="32"/>
          <w:szCs w:val="32"/>
          <w:lang w:eastAsia="zh-CN"/>
        </w:rPr>
        <w:t>情况</w:t>
      </w:r>
    </w:p>
    <w:p>
      <w:pPr>
        <w:autoSpaceDE w:val="0"/>
        <w:autoSpaceDN w:val="0"/>
        <w:adjustRightInd w:val="0"/>
        <w:spacing w:line="578" w:lineRule="exact"/>
        <w:ind w:firstLine="600" w:firstLineChars="200"/>
        <w:jc w:val="left"/>
        <w:outlineLvl w:val="1"/>
        <w:rPr>
          <w:rFonts w:ascii="方正黑体简体" w:eastAsia="方正黑体简体"/>
          <w:color w:val="000000"/>
          <w:kern w:val="0"/>
          <w:sz w:val="30"/>
          <w:szCs w:val="30"/>
        </w:rPr>
      </w:pPr>
      <w:r>
        <w:rPr>
          <w:rFonts w:hint="eastAsia" w:ascii="方正黑体简体" w:eastAsia="方正黑体简体"/>
          <w:color w:val="000000"/>
          <w:kern w:val="0"/>
          <w:sz w:val="30"/>
          <w:szCs w:val="30"/>
        </w:rPr>
        <w:t>三、支出决算情况说明</w:t>
      </w:r>
    </w:p>
    <w:p>
      <w:pPr>
        <w:snapToGrid w:val="0"/>
        <w:spacing w:line="578" w:lineRule="exact"/>
        <w:ind w:firstLine="640" w:firstLineChars="200"/>
        <w:rPr>
          <w:rFonts w:hint="eastAsia" w:eastAsia="方正仿宋简体"/>
          <w:sz w:val="32"/>
          <w:szCs w:val="32"/>
        </w:rPr>
      </w:pPr>
      <w:r>
        <w:rPr>
          <w:rFonts w:eastAsia="方正仿宋简体"/>
          <w:color w:val="000000"/>
          <w:kern w:val="0"/>
          <w:sz w:val="32"/>
          <w:szCs w:val="32"/>
        </w:rPr>
        <w:t>本年支出合计</w:t>
      </w:r>
      <w:r>
        <w:rPr>
          <w:rFonts w:hint="eastAsia" w:eastAsia="方正仿宋简体"/>
          <w:sz w:val="32"/>
          <w:szCs w:val="32"/>
        </w:rPr>
        <w:t>63,755.71</w:t>
      </w:r>
      <w:r>
        <w:rPr>
          <w:rFonts w:eastAsia="方正仿宋简体"/>
          <w:sz w:val="32"/>
          <w:szCs w:val="32"/>
        </w:rPr>
        <w:t>万元，其中，</w:t>
      </w:r>
      <w:r>
        <w:rPr>
          <w:rFonts w:hint="eastAsia" w:eastAsia="方正仿宋简体"/>
          <w:sz w:val="32"/>
          <w:szCs w:val="32"/>
          <w:lang w:eastAsia="zh-CN"/>
        </w:rPr>
        <w:t>基本</w:t>
      </w:r>
      <w:r>
        <w:rPr>
          <w:rFonts w:eastAsia="方正仿宋简体"/>
          <w:sz w:val="32"/>
          <w:szCs w:val="32"/>
        </w:rPr>
        <w:t>支出</w:t>
      </w:r>
      <w:r>
        <w:rPr>
          <w:rFonts w:hint="eastAsia" w:eastAsia="方正仿宋简体"/>
          <w:sz w:val="32"/>
          <w:szCs w:val="32"/>
        </w:rPr>
        <w:t>46,265.78</w:t>
      </w:r>
    </w:p>
    <w:p>
      <w:pPr>
        <w:snapToGrid w:val="0"/>
        <w:spacing w:line="578" w:lineRule="exact"/>
        <w:rPr>
          <w:rFonts w:eastAsia="方正仿宋简体"/>
          <w:sz w:val="32"/>
          <w:szCs w:val="32"/>
        </w:rPr>
      </w:pPr>
      <w:r>
        <w:rPr>
          <w:rFonts w:eastAsia="方正仿宋简体"/>
          <w:sz w:val="32"/>
          <w:szCs w:val="32"/>
        </w:rPr>
        <w:t>万元、占</w:t>
      </w:r>
      <w:r>
        <w:rPr>
          <w:rFonts w:hint="eastAsia" w:eastAsia="方正仿宋简体"/>
          <w:sz w:val="32"/>
          <w:szCs w:val="32"/>
          <w:lang w:val="en-US" w:eastAsia="zh-CN"/>
        </w:rPr>
        <w:t>72.57</w:t>
      </w:r>
      <w:r>
        <w:rPr>
          <w:rFonts w:eastAsia="方正仿宋简体"/>
          <w:sz w:val="32"/>
          <w:szCs w:val="32"/>
        </w:rPr>
        <w:t>%；项目支出</w:t>
      </w:r>
      <w:r>
        <w:rPr>
          <w:rFonts w:hint="eastAsia" w:eastAsia="方正仿宋简体"/>
          <w:sz w:val="32"/>
          <w:szCs w:val="32"/>
        </w:rPr>
        <w:t>17,489.93</w:t>
      </w:r>
      <w:r>
        <w:rPr>
          <w:rFonts w:eastAsia="方正仿宋简体"/>
          <w:sz w:val="32"/>
          <w:szCs w:val="32"/>
        </w:rPr>
        <w:t>万元、占</w:t>
      </w:r>
      <w:r>
        <w:rPr>
          <w:rFonts w:hint="eastAsia" w:eastAsia="方正仿宋简体"/>
          <w:sz w:val="32"/>
          <w:szCs w:val="32"/>
          <w:lang w:val="en-US" w:eastAsia="zh-CN"/>
        </w:rPr>
        <w:t>27.43</w:t>
      </w:r>
      <w:r>
        <w:rPr>
          <w:rFonts w:eastAsia="方正仿宋简体"/>
          <w:sz w:val="32"/>
          <w:szCs w:val="32"/>
        </w:rPr>
        <w:t>%。</w:t>
      </w:r>
    </w:p>
    <w:p>
      <w:pPr>
        <w:jc w:val="center"/>
        <w:rPr>
          <w:rFonts w:eastAsia="方正仿宋简体"/>
          <w:color w:val="FF0000"/>
          <w:sz w:val="32"/>
          <w:szCs w:val="32"/>
        </w:rPr>
      </w:pPr>
      <w:r>
        <w:drawing>
          <wp:inline distT="0" distB="0" distL="114300" distR="114300">
            <wp:extent cx="4638675" cy="2329180"/>
            <wp:effectExtent l="5080" t="4445" r="4445" b="9525"/>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27"/>
        <w:spacing w:line="420" w:lineRule="exact"/>
        <w:jc w:val="center"/>
        <w:rPr>
          <w:rFonts w:hint="eastAsia" w:ascii="方正楷体简体" w:hAnsi="方正楷体简体" w:eastAsia="方正楷体简体" w:cs="方正楷体简体"/>
          <w:sz w:val="32"/>
          <w:szCs w:val="32"/>
          <w:lang w:eastAsia="zh-CN"/>
        </w:rPr>
      </w:pPr>
      <w:r>
        <w:rPr>
          <w:rFonts w:hint="eastAsia" w:ascii="方正楷体简体" w:hAnsi="方正楷体简体" w:eastAsia="方正楷体简体" w:cs="方正楷体简体"/>
          <w:sz w:val="32"/>
          <w:szCs w:val="32"/>
        </w:rPr>
        <w:t>图3 支出决算</w:t>
      </w:r>
      <w:r>
        <w:rPr>
          <w:rFonts w:hint="eastAsia" w:ascii="方正楷体简体" w:hAnsi="方正楷体简体" w:eastAsia="方正楷体简体" w:cs="方正楷体简体"/>
          <w:sz w:val="32"/>
          <w:szCs w:val="32"/>
          <w:lang w:eastAsia="zh-CN"/>
        </w:rPr>
        <w:t>情况</w:t>
      </w:r>
    </w:p>
    <w:p>
      <w:pPr>
        <w:pStyle w:val="27"/>
        <w:spacing w:line="420" w:lineRule="exact"/>
        <w:jc w:val="center"/>
        <w:rPr>
          <w:rFonts w:ascii="方正楷体简体" w:hAnsi="方正楷体简体" w:eastAsia="方正楷体简体" w:cs="方正楷体简体"/>
          <w:sz w:val="32"/>
          <w:szCs w:val="32"/>
        </w:rPr>
      </w:pPr>
    </w:p>
    <w:p>
      <w:pPr>
        <w:spacing w:line="578" w:lineRule="exact"/>
        <w:ind w:firstLine="600" w:firstLineChars="200"/>
        <w:outlineLvl w:val="1"/>
        <w:rPr>
          <w:rFonts w:ascii="方正黑体简体" w:eastAsia="方正黑体简体"/>
          <w:color w:val="000000"/>
          <w:kern w:val="0"/>
          <w:sz w:val="30"/>
          <w:szCs w:val="30"/>
        </w:rPr>
      </w:pPr>
      <w:r>
        <w:rPr>
          <w:rFonts w:hint="eastAsia" w:ascii="方正黑体简体" w:eastAsia="方正黑体简体"/>
          <w:color w:val="000000"/>
          <w:kern w:val="0"/>
          <w:sz w:val="30"/>
          <w:szCs w:val="30"/>
        </w:rPr>
        <w:t>四、财政拨款收入支出决算总体情况说明</w:t>
      </w:r>
    </w:p>
    <w:p>
      <w:pPr>
        <w:pStyle w:val="27"/>
        <w:spacing w:line="578" w:lineRule="exact"/>
        <w:ind w:firstLine="640" w:firstLineChars="200"/>
        <w:jc w:val="both"/>
        <w:rPr>
          <w:rFonts w:ascii="Times New Roman" w:eastAsia="方正仿宋简体" w:cs="Times New Roman"/>
          <w:sz w:val="32"/>
          <w:szCs w:val="32"/>
        </w:rPr>
      </w:pPr>
      <w:r>
        <w:rPr>
          <w:rFonts w:hint="eastAsia" w:ascii="Times New Roman" w:eastAsia="方正仿宋简体" w:cs="Times New Roman"/>
          <w:sz w:val="32"/>
          <w:szCs w:val="32"/>
          <w:lang w:eastAsia="zh-CN"/>
        </w:rPr>
        <w:t>2021年度</w:t>
      </w:r>
      <w:r>
        <w:rPr>
          <w:rFonts w:ascii="Times New Roman" w:eastAsia="方正仿宋简体" w:cs="Times New Roman"/>
          <w:sz w:val="32"/>
          <w:szCs w:val="32"/>
        </w:rPr>
        <w:t>财政拨款收、支总计</w:t>
      </w:r>
      <w:r>
        <w:rPr>
          <w:rFonts w:hint="eastAsia" w:ascii="Times New Roman" w:eastAsia="方正仿宋简体" w:cs="Times New Roman"/>
          <w:sz w:val="32"/>
          <w:szCs w:val="32"/>
        </w:rPr>
        <w:t>83,725.52</w:t>
      </w:r>
      <w:r>
        <w:rPr>
          <w:rFonts w:ascii="Times New Roman" w:eastAsia="方正仿宋简体" w:cs="Times New Roman"/>
          <w:sz w:val="32"/>
          <w:szCs w:val="32"/>
        </w:rPr>
        <w:t>万元</w:t>
      </w:r>
      <w:r>
        <w:rPr>
          <w:rFonts w:hint="eastAsia" w:ascii="Times New Roman" w:eastAsia="方正仿宋简体" w:cs="Times New Roman"/>
          <w:sz w:val="32"/>
          <w:szCs w:val="32"/>
        </w:rPr>
        <w:t>，与20</w:t>
      </w:r>
      <w:r>
        <w:rPr>
          <w:rFonts w:hint="eastAsia" w:ascii="Times New Roman" w:eastAsia="方正仿宋简体" w:cs="Times New Roman"/>
          <w:sz w:val="32"/>
          <w:szCs w:val="32"/>
          <w:lang w:val="en-US" w:eastAsia="zh-CN"/>
        </w:rPr>
        <w:t>20</w:t>
      </w:r>
      <w:r>
        <w:rPr>
          <w:rFonts w:hint="eastAsia" w:ascii="Times New Roman" w:eastAsia="方正仿宋简体" w:cs="Times New Roman"/>
          <w:sz w:val="32"/>
          <w:szCs w:val="32"/>
        </w:rPr>
        <w:t>年</w:t>
      </w:r>
      <w:r>
        <w:rPr>
          <w:rFonts w:ascii="Times New Roman" w:eastAsia="方正仿宋简体" w:cs="Times New Roman"/>
          <w:sz w:val="32"/>
          <w:szCs w:val="32"/>
        </w:rPr>
        <w:t>度</w:t>
      </w:r>
      <w:r>
        <w:rPr>
          <w:rFonts w:hint="eastAsia" w:ascii="Times New Roman" w:eastAsia="方正仿宋简体" w:cs="Times New Roman"/>
          <w:sz w:val="32"/>
          <w:szCs w:val="32"/>
          <w:lang w:eastAsia="zh-CN"/>
        </w:rPr>
        <w:t>83,474.50</w:t>
      </w:r>
      <w:r>
        <w:rPr>
          <w:rFonts w:hint="eastAsia" w:ascii="Times New Roman" w:eastAsia="方正仿宋简体" w:cs="Times New Roman"/>
          <w:color w:val="auto"/>
          <w:sz w:val="32"/>
          <w:szCs w:val="32"/>
        </w:rPr>
        <w:t>万元</w:t>
      </w:r>
      <w:r>
        <w:rPr>
          <w:rFonts w:hint="eastAsia" w:ascii="Times New Roman" w:eastAsia="方正仿宋简体" w:cs="Times New Roman"/>
          <w:sz w:val="32"/>
          <w:szCs w:val="32"/>
        </w:rPr>
        <w:t>相比，</w:t>
      </w:r>
      <w:r>
        <w:rPr>
          <w:rFonts w:ascii="Times New Roman" w:eastAsia="方正仿宋简体" w:cs="Times New Roman"/>
          <w:sz w:val="32"/>
          <w:szCs w:val="32"/>
        </w:rPr>
        <w:t>财政拨款收、支总计</w:t>
      </w:r>
      <w:r>
        <w:rPr>
          <w:rFonts w:hint="eastAsia" w:ascii="Times New Roman" w:eastAsia="方正仿宋简体" w:cs="Times New Roman"/>
          <w:sz w:val="32"/>
          <w:szCs w:val="32"/>
        </w:rPr>
        <w:t>各</w:t>
      </w:r>
      <w:r>
        <w:rPr>
          <w:rFonts w:hint="eastAsia" w:ascii="Times New Roman" w:eastAsia="方正仿宋简体" w:cs="Times New Roman"/>
          <w:sz w:val="32"/>
          <w:szCs w:val="32"/>
          <w:lang w:eastAsia="zh-CN"/>
        </w:rPr>
        <w:t>增加</w:t>
      </w:r>
      <w:r>
        <w:rPr>
          <w:rFonts w:hint="eastAsia" w:ascii="Times New Roman" w:eastAsia="方正仿宋简体" w:cs="Times New Roman"/>
          <w:sz w:val="32"/>
          <w:szCs w:val="32"/>
          <w:lang w:val="en-US" w:eastAsia="zh-CN"/>
        </w:rPr>
        <w:t>251.02万元</w:t>
      </w:r>
      <w:r>
        <w:rPr>
          <w:rFonts w:hint="eastAsia" w:ascii="Times New Roman" w:eastAsia="方正仿宋简体" w:cs="Times New Roman"/>
          <w:color w:val="auto"/>
          <w:sz w:val="32"/>
          <w:szCs w:val="32"/>
        </w:rPr>
        <w:t>，</w:t>
      </w:r>
      <w:r>
        <w:rPr>
          <w:rFonts w:hint="eastAsia" w:ascii="Times New Roman" w:eastAsia="方正仿宋简体" w:cs="Times New Roman"/>
          <w:color w:val="auto"/>
          <w:sz w:val="32"/>
          <w:szCs w:val="32"/>
          <w:lang w:eastAsia="zh-CN"/>
        </w:rPr>
        <w:t>增加</w:t>
      </w:r>
      <w:r>
        <w:rPr>
          <w:rFonts w:hint="eastAsia" w:ascii="Times New Roman" w:eastAsia="方正仿宋简体" w:cs="Times New Roman"/>
          <w:color w:val="auto"/>
          <w:sz w:val="32"/>
          <w:szCs w:val="32"/>
          <w:lang w:val="en-US" w:eastAsia="zh-CN"/>
        </w:rPr>
        <w:t>0.3</w:t>
      </w:r>
      <w:r>
        <w:rPr>
          <w:rFonts w:hint="eastAsia" w:ascii="Times New Roman" w:eastAsia="方正仿宋简体" w:cs="Times New Roman"/>
          <w:color w:val="auto"/>
          <w:sz w:val="32"/>
          <w:szCs w:val="32"/>
        </w:rPr>
        <w:t>%</w:t>
      </w:r>
      <w:r>
        <w:rPr>
          <w:rFonts w:ascii="Times New Roman" w:eastAsia="方正仿宋简体" w:cs="Times New Roman"/>
          <w:color w:val="auto"/>
          <w:sz w:val="32"/>
          <w:szCs w:val="32"/>
        </w:rPr>
        <w:t>。</w:t>
      </w:r>
    </w:p>
    <w:p>
      <w:pPr>
        <w:pStyle w:val="27"/>
        <w:jc w:val="center"/>
        <w:rPr>
          <w:rFonts w:hint="eastAsia" w:ascii="Times New Roman" w:eastAsia="方正仿宋简体" w:cs="Times New Roman"/>
          <w:sz w:val="32"/>
          <w:szCs w:val="32"/>
          <w:lang w:eastAsia="zh-CN"/>
        </w:rPr>
      </w:pPr>
      <w:r>
        <w:rPr>
          <w:rFonts w:hint="eastAsia" w:ascii="Times New Roman" w:eastAsia="方正仿宋简体" w:cs="Times New Roman"/>
          <w:sz w:val="32"/>
          <w:szCs w:val="32"/>
          <w:lang w:eastAsia="zh-CN"/>
        </w:rPr>
        <w:drawing>
          <wp:inline distT="0" distB="0" distL="114300" distR="114300">
            <wp:extent cx="5095240" cy="2707005"/>
            <wp:effectExtent l="4445" t="4445" r="5715" b="1270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27"/>
        <w:spacing w:line="420" w:lineRule="exact"/>
        <w:jc w:val="center"/>
        <w:rPr>
          <w:rFonts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图4 财政拨款收、支决算总计变动情况</w:t>
      </w:r>
    </w:p>
    <w:p>
      <w:pPr>
        <w:pStyle w:val="27"/>
        <w:spacing w:line="578" w:lineRule="exact"/>
        <w:jc w:val="center"/>
        <w:rPr>
          <w:rFonts w:ascii="方正楷体简体" w:hAnsi="方正楷体简体" w:eastAsia="方正楷体简体" w:cs="方正楷体简体"/>
          <w:sz w:val="28"/>
          <w:szCs w:val="28"/>
        </w:rPr>
      </w:pPr>
      <w:r>
        <w:rPr>
          <w:rFonts w:hint="eastAsia" w:ascii="方正楷体简体" w:hAnsi="方正楷体简体" w:eastAsia="方正楷体简体" w:cs="方正楷体简体"/>
          <w:sz w:val="28"/>
          <w:szCs w:val="28"/>
        </w:rPr>
        <w:t>（金额单位：万元）</w:t>
      </w:r>
    </w:p>
    <w:p>
      <w:pPr>
        <w:spacing w:line="578" w:lineRule="exact"/>
        <w:ind w:firstLine="600" w:firstLineChars="200"/>
        <w:outlineLvl w:val="1"/>
        <w:rPr>
          <w:rFonts w:ascii="方正黑体简体" w:eastAsia="方正黑体简体"/>
          <w:color w:val="000000"/>
          <w:kern w:val="0"/>
          <w:sz w:val="30"/>
          <w:szCs w:val="30"/>
        </w:rPr>
      </w:pPr>
      <w:r>
        <w:rPr>
          <w:rFonts w:hint="eastAsia" w:ascii="方正黑体简体" w:eastAsia="方正黑体简体"/>
          <w:color w:val="000000"/>
          <w:kern w:val="0"/>
          <w:sz w:val="30"/>
          <w:szCs w:val="30"/>
        </w:rPr>
        <w:t>五、一般公共预算财政拨款支出决算情况说明</w:t>
      </w:r>
    </w:p>
    <w:p>
      <w:pPr>
        <w:autoSpaceDE w:val="0"/>
        <w:autoSpaceDN w:val="0"/>
        <w:adjustRightInd w:val="0"/>
        <w:spacing w:line="578" w:lineRule="exact"/>
        <w:ind w:firstLine="640" w:firstLineChars="200"/>
        <w:jc w:val="left"/>
        <w:rPr>
          <w:rFonts w:ascii="方正楷体简体" w:eastAsia="方正楷体简体"/>
          <w:color w:val="000000"/>
          <w:kern w:val="0"/>
          <w:sz w:val="32"/>
          <w:szCs w:val="32"/>
        </w:rPr>
      </w:pPr>
      <w:r>
        <w:rPr>
          <w:rFonts w:hint="eastAsia" w:ascii="方正楷体简体" w:eastAsia="方正楷体简体"/>
          <w:color w:val="000000"/>
          <w:kern w:val="0"/>
          <w:sz w:val="32"/>
          <w:szCs w:val="32"/>
        </w:rPr>
        <w:t>（一）财政拨款支出决算总体情况。</w:t>
      </w:r>
    </w:p>
    <w:p>
      <w:pPr>
        <w:pStyle w:val="27"/>
        <w:spacing w:line="578" w:lineRule="exact"/>
        <w:ind w:firstLine="640" w:firstLineChars="200"/>
        <w:jc w:val="both"/>
        <w:rPr>
          <w:rFonts w:ascii="Times New Roman" w:eastAsia="方正仿宋简体" w:cs="Times New Roman"/>
          <w:sz w:val="32"/>
          <w:szCs w:val="32"/>
        </w:rPr>
      </w:pPr>
      <w:r>
        <w:rPr>
          <w:rFonts w:hint="eastAsia" w:ascii="Times New Roman" w:eastAsia="方正仿宋简体" w:cs="Times New Roman"/>
          <w:sz w:val="32"/>
          <w:szCs w:val="32"/>
          <w:lang w:eastAsia="zh-CN"/>
        </w:rPr>
        <w:t>2021年度</w:t>
      </w:r>
      <w:r>
        <w:rPr>
          <w:rFonts w:ascii="Times New Roman" w:eastAsia="方正仿宋简体" w:cs="Times New Roman"/>
          <w:sz w:val="32"/>
          <w:szCs w:val="32"/>
        </w:rPr>
        <w:t>财政拨款支出</w:t>
      </w:r>
      <w:r>
        <w:rPr>
          <w:rFonts w:hint="eastAsia" w:ascii="Times New Roman" w:eastAsia="方正仿宋简体" w:cs="Times New Roman"/>
          <w:sz w:val="32"/>
          <w:szCs w:val="32"/>
        </w:rPr>
        <w:t>43,898.66</w:t>
      </w:r>
      <w:r>
        <w:rPr>
          <w:rFonts w:ascii="Times New Roman" w:eastAsia="方正仿宋简体" w:cs="Times New Roman"/>
          <w:sz w:val="32"/>
          <w:szCs w:val="32"/>
        </w:rPr>
        <w:t>万元，占本年支出合计的</w:t>
      </w:r>
      <w:r>
        <w:rPr>
          <w:rFonts w:hint="eastAsia" w:ascii="Times New Roman" w:eastAsia="方正仿宋简体" w:cs="Times New Roman"/>
          <w:sz w:val="32"/>
          <w:szCs w:val="32"/>
          <w:lang w:val="en-US" w:eastAsia="zh-CN"/>
        </w:rPr>
        <w:t>68.85</w:t>
      </w:r>
      <w:r>
        <w:rPr>
          <w:rFonts w:ascii="Times New Roman" w:eastAsia="方正仿宋简体" w:cs="Times New Roman"/>
          <w:sz w:val="32"/>
          <w:szCs w:val="32"/>
        </w:rPr>
        <w:t>%</w:t>
      </w:r>
      <w:r>
        <w:rPr>
          <w:rFonts w:hint="eastAsia" w:ascii="Times New Roman" w:eastAsia="方正仿宋简体" w:cs="Times New Roman"/>
          <w:sz w:val="32"/>
          <w:szCs w:val="32"/>
        </w:rPr>
        <w:t>，与20</w:t>
      </w:r>
      <w:r>
        <w:rPr>
          <w:rFonts w:hint="eastAsia" w:ascii="Times New Roman" w:eastAsia="方正仿宋简体" w:cs="Times New Roman"/>
          <w:sz w:val="32"/>
          <w:szCs w:val="32"/>
          <w:lang w:val="en-US" w:eastAsia="zh-CN"/>
        </w:rPr>
        <w:t>20</w:t>
      </w:r>
      <w:r>
        <w:rPr>
          <w:rFonts w:hint="eastAsia" w:ascii="Times New Roman" w:eastAsia="方正仿宋简体" w:cs="Times New Roman"/>
          <w:sz w:val="32"/>
          <w:szCs w:val="32"/>
        </w:rPr>
        <w:t>年</w:t>
      </w:r>
      <w:r>
        <w:rPr>
          <w:rFonts w:ascii="Times New Roman" w:eastAsia="方正仿宋简体" w:cs="Times New Roman"/>
          <w:sz w:val="32"/>
          <w:szCs w:val="32"/>
        </w:rPr>
        <w:t>度</w:t>
      </w:r>
      <w:r>
        <w:rPr>
          <w:rFonts w:hint="eastAsia" w:ascii="Times New Roman" w:eastAsia="方正仿宋简体" w:cs="Times New Roman"/>
          <w:sz w:val="32"/>
          <w:szCs w:val="32"/>
        </w:rPr>
        <w:t>31,649.22</w:t>
      </w:r>
      <w:r>
        <w:rPr>
          <w:rFonts w:hint="eastAsia" w:ascii="Times New Roman" w:eastAsia="方正仿宋简体" w:cs="Times New Roman"/>
          <w:sz w:val="32"/>
          <w:szCs w:val="32"/>
          <w:lang w:eastAsia="zh-CN"/>
        </w:rPr>
        <w:t>万元</w:t>
      </w:r>
      <w:r>
        <w:rPr>
          <w:rFonts w:hint="eastAsia" w:ascii="Times New Roman" w:eastAsia="方正仿宋简体" w:cs="Times New Roman"/>
          <w:sz w:val="32"/>
          <w:szCs w:val="32"/>
        </w:rPr>
        <w:t>相比，</w:t>
      </w:r>
      <w:r>
        <w:rPr>
          <w:rFonts w:ascii="Times New Roman" w:eastAsia="方正仿宋简体" w:cs="Times New Roman"/>
          <w:sz w:val="32"/>
          <w:szCs w:val="32"/>
        </w:rPr>
        <w:t>财</w:t>
      </w:r>
      <w:r>
        <w:rPr>
          <w:rFonts w:ascii="Times New Roman" w:eastAsia="方正仿宋简体" w:cs="Times New Roman"/>
          <w:color w:val="auto"/>
          <w:sz w:val="32"/>
          <w:szCs w:val="32"/>
        </w:rPr>
        <w:t>政拨款</w:t>
      </w:r>
      <w:r>
        <w:rPr>
          <w:rFonts w:hint="eastAsia" w:ascii="Times New Roman" w:eastAsia="方正仿宋简体" w:cs="Times New Roman"/>
          <w:color w:val="auto"/>
          <w:sz w:val="32"/>
          <w:szCs w:val="32"/>
        </w:rPr>
        <w:t>支出增加</w:t>
      </w:r>
      <w:r>
        <w:rPr>
          <w:rFonts w:hint="eastAsia" w:ascii="Times New Roman" w:eastAsia="方正仿宋简体" w:cs="Times New Roman"/>
          <w:color w:val="auto"/>
          <w:sz w:val="32"/>
          <w:szCs w:val="32"/>
          <w:lang w:val="en-US" w:eastAsia="zh-CN"/>
        </w:rPr>
        <w:t>12,249.44</w:t>
      </w:r>
      <w:r>
        <w:rPr>
          <w:rFonts w:hint="eastAsia" w:ascii="Times New Roman" w:eastAsia="方正仿宋简体" w:cs="Times New Roman"/>
          <w:color w:val="auto"/>
          <w:sz w:val="32"/>
          <w:szCs w:val="32"/>
        </w:rPr>
        <w:t>万元，增长</w:t>
      </w:r>
      <w:r>
        <w:rPr>
          <w:rFonts w:hint="eastAsia" w:ascii="Times New Roman" w:eastAsia="方正仿宋简体" w:cs="Times New Roman"/>
          <w:color w:val="auto"/>
          <w:sz w:val="32"/>
          <w:szCs w:val="32"/>
          <w:lang w:val="en-US" w:eastAsia="zh-CN"/>
        </w:rPr>
        <w:t>38.70</w:t>
      </w:r>
      <w:r>
        <w:rPr>
          <w:rFonts w:hint="eastAsia" w:ascii="Times New Roman" w:eastAsia="方正仿宋简体" w:cs="Times New Roman"/>
          <w:color w:val="auto"/>
          <w:sz w:val="32"/>
          <w:szCs w:val="32"/>
        </w:rPr>
        <w:t>%，主要是</w:t>
      </w:r>
      <w:r>
        <w:rPr>
          <w:rFonts w:hint="eastAsia" w:ascii="Times New Roman" w:eastAsia="方正仿宋简体" w:cs="Times New Roman"/>
          <w:color w:val="auto"/>
          <w:sz w:val="32"/>
          <w:szCs w:val="32"/>
          <w:lang w:eastAsia="zh-CN"/>
        </w:rPr>
        <w:t>2021年度落实了新工资政策</w:t>
      </w:r>
      <w:r>
        <w:rPr>
          <w:rFonts w:hint="eastAsia" w:ascii="Times New Roman" w:eastAsia="方正仿宋简体" w:cs="Times New Roman"/>
          <w:color w:val="auto"/>
          <w:sz w:val="32"/>
          <w:szCs w:val="32"/>
        </w:rPr>
        <w:t>，导致财政拨款支出总体增加</w:t>
      </w:r>
      <w:r>
        <w:rPr>
          <w:rFonts w:ascii="Times New Roman" w:eastAsia="方正仿宋简体" w:cs="Times New Roman"/>
          <w:color w:val="auto"/>
          <w:sz w:val="32"/>
          <w:szCs w:val="32"/>
        </w:rPr>
        <w:t>。</w:t>
      </w:r>
    </w:p>
    <w:p>
      <w:pPr>
        <w:pStyle w:val="27"/>
        <w:jc w:val="center"/>
        <w:rPr>
          <w:rFonts w:hint="eastAsia" w:ascii="Times New Roman" w:eastAsia="方正仿宋简体" w:cs="Times New Roman"/>
          <w:sz w:val="32"/>
          <w:szCs w:val="32"/>
          <w:lang w:eastAsia="zh-CN"/>
        </w:rPr>
      </w:pPr>
      <w:r>
        <w:rPr>
          <w:rFonts w:hint="eastAsia" w:ascii="Times New Roman" w:eastAsia="方正仿宋简体" w:cs="Times New Roman"/>
          <w:sz w:val="32"/>
          <w:szCs w:val="32"/>
          <w:lang w:eastAsia="zh-CN"/>
        </w:rPr>
        <w:drawing>
          <wp:inline distT="0" distB="0" distL="114300" distR="114300">
            <wp:extent cx="4413885" cy="2199640"/>
            <wp:effectExtent l="4445" t="4445" r="20320" b="571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27"/>
        <w:spacing w:line="420" w:lineRule="exact"/>
        <w:jc w:val="center"/>
        <w:rPr>
          <w:rFonts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图5 财政拨款支出决算变动情况</w:t>
      </w:r>
    </w:p>
    <w:p>
      <w:pPr>
        <w:pStyle w:val="27"/>
        <w:spacing w:line="578" w:lineRule="exact"/>
        <w:jc w:val="center"/>
        <w:rPr>
          <w:rFonts w:ascii="方正楷体简体" w:hAnsi="方正楷体简体" w:eastAsia="方正楷体简体" w:cs="方正楷体简体"/>
          <w:sz w:val="28"/>
          <w:szCs w:val="28"/>
        </w:rPr>
      </w:pPr>
      <w:r>
        <w:rPr>
          <w:rFonts w:hint="eastAsia" w:ascii="方正楷体简体" w:hAnsi="方正楷体简体" w:eastAsia="方正楷体简体" w:cs="方正楷体简体"/>
          <w:sz w:val="28"/>
          <w:szCs w:val="28"/>
        </w:rPr>
        <w:t>（金额单位：万元）</w:t>
      </w:r>
    </w:p>
    <w:p>
      <w:pPr>
        <w:spacing w:line="578" w:lineRule="exact"/>
        <w:ind w:firstLine="640" w:firstLineChars="200"/>
        <w:rPr>
          <w:rFonts w:ascii="方正楷体简体" w:eastAsia="方正楷体简体"/>
          <w:color w:val="000000"/>
          <w:kern w:val="0"/>
          <w:sz w:val="32"/>
          <w:szCs w:val="32"/>
        </w:rPr>
      </w:pPr>
      <w:r>
        <w:rPr>
          <w:rFonts w:hint="eastAsia" w:ascii="方正楷体简体" w:eastAsia="方正楷体简体"/>
          <w:color w:val="000000"/>
          <w:kern w:val="0"/>
          <w:sz w:val="32"/>
          <w:szCs w:val="32"/>
        </w:rPr>
        <w:t>（二）财政拨款支出决算结构情况。</w:t>
      </w:r>
    </w:p>
    <w:p>
      <w:pPr>
        <w:spacing w:line="578" w:lineRule="exact"/>
        <w:ind w:firstLine="640" w:firstLineChars="200"/>
        <w:rPr>
          <w:rFonts w:eastAsia="方正仿宋简体"/>
          <w:color w:val="000000"/>
          <w:kern w:val="0"/>
          <w:sz w:val="32"/>
          <w:szCs w:val="32"/>
        </w:rPr>
      </w:pPr>
      <w:r>
        <w:rPr>
          <w:rFonts w:hint="eastAsia" w:eastAsia="方正仿宋简体"/>
          <w:color w:val="000000"/>
          <w:kern w:val="0"/>
          <w:sz w:val="32"/>
          <w:szCs w:val="32"/>
          <w:lang w:eastAsia="zh-CN"/>
        </w:rPr>
        <w:t>2021年度</w:t>
      </w:r>
      <w:r>
        <w:rPr>
          <w:rFonts w:eastAsia="方正仿宋简体"/>
          <w:color w:val="000000"/>
          <w:kern w:val="0"/>
          <w:sz w:val="32"/>
          <w:szCs w:val="32"/>
        </w:rPr>
        <w:t>财政拨款支出</w:t>
      </w:r>
      <w:r>
        <w:rPr>
          <w:rFonts w:hint="eastAsia" w:ascii="Times New Roman" w:eastAsia="方正仿宋简体" w:cs="Times New Roman"/>
          <w:sz w:val="32"/>
          <w:szCs w:val="32"/>
        </w:rPr>
        <w:t>43,898.66</w:t>
      </w:r>
      <w:r>
        <w:rPr>
          <w:rFonts w:eastAsia="方正仿宋简体"/>
          <w:color w:val="000000"/>
          <w:kern w:val="0"/>
          <w:sz w:val="32"/>
          <w:szCs w:val="32"/>
        </w:rPr>
        <w:t>万元，主要用于以下方面：住房保障（类）支出</w:t>
      </w:r>
      <w:r>
        <w:rPr>
          <w:rFonts w:hint="eastAsia" w:eastAsia="方正仿宋简体"/>
          <w:color w:val="000000"/>
          <w:kern w:val="0"/>
          <w:sz w:val="32"/>
          <w:szCs w:val="32"/>
        </w:rPr>
        <w:t>2,164.58</w:t>
      </w:r>
      <w:r>
        <w:rPr>
          <w:rFonts w:eastAsia="方正仿宋简体"/>
          <w:color w:val="000000"/>
          <w:kern w:val="0"/>
          <w:sz w:val="32"/>
          <w:szCs w:val="32"/>
        </w:rPr>
        <w:t>万元，占</w:t>
      </w:r>
      <w:r>
        <w:rPr>
          <w:rFonts w:hint="eastAsia" w:eastAsia="方正仿宋简体"/>
          <w:color w:val="000000"/>
          <w:kern w:val="0"/>
          <w:sz w:val="32"/>
          <w:szCs w:val="32"/>
          <w:lang w:val="en-US" w:eastAsia="zh-CN"/>
        </w:rPr>
        <w:t>4.93</w:t>
      </w:r>
      <w:r>
        <w:rPr>
          <w:rFonts w:eastAsia="方正仿宋简体"/>
          <w:color w:val="000000"/>
          <w:kern w:val="0"/>
          <w:sz w:val="32"/>
          <w:szCs w:val="32"/>
        </w:rPr>
        <w:t>%</w:t>
      </w:r>
      <w:r>
        <w:rPr>
          <w:rFonts w:hint="eastAsia" w:eastAsia="方正仿宋简体"/>
          <w:color w:val="000000"/>
          <w:kern w:val="0"/>
          <w:sz w:val="32"/>
          <w:szCs w:val="32"/>
        </w:rPr>
        <w:t>；灾害防治及应急管理</w:t>
      </w:r>
      <w:r>
        <w:rPr>
          <w:rFonts w:eastAsia="方正仿宋简体"/>
          <w:color w:val="000000"/>
          <w:kern w:val="0"/>
          <w:sz w:val="32"/>
          <w:szCs w:val="32"/>
        </w:rPr>
        <w:t>（类）</w:t>
      </w:r>
      <w:r>
        <w:rPr>
          <w:rFonts w:hint="eastAsia" w:eastAsia="方正仿宋简体"/>
          <w:color w:val="000000"/>
          <w:kern w:val="0"/>
          <w:sz w:val="32"/>
          <w:szCs w:val="32"/>
        </w:rPr>
        <w:t>支出41,734.08</w:t>
      </w:r>
      <w:r>
        <w:rPr>
          <w:rFonts w:eastAsia="方正仿宋简体"/>
          <w:color w:val="000000"/>
          <w:kern w:val="0"/>
          <w:sz w:val="32"/>
          <w:szCs w:val="32"/>
        </w:rPr>
        <w:t>万元，占</w:t>
      </w:r>
      <w:r>
        <w:rPr>
          <w:rFonts w:hint="eastAsia" w:eastAsia="方正仿宋简体"/>
          <w:color w:val="000000"/>
          <w:kern w:val="0"/>
          <w:sz w:val="32"/>
          <w:szCs w:val="32"/>
          <w:lang w:val="en-US" w:eastAsia="zh-CN"/>
        </w:rPr>
        <w:t>95.07</w:t>
      </w:r>
      <w:r>
        <w:rPr>
          <w:rFonts w:eastAsia="方正仿宋简体"/>
          <w:color w:val="000000"/>
          <w:kern w:val="0"/>
          <w:sz w:val="32"/>
          <w:szCs w:val="32"/>
        </w:rPr>
        <w:t>%。</w:t>
      </w:r>
    </w:p>
    <w:p>
      <w:pPr>
        <w:autoSpaceDE w:val="0"/>
        <w:autoSpaceDN w:val="0"/>
        <w:adjustRightInd w:val="0"/>
        <w:jc w:val="center"/>
        <w:rPr>
          <w:rFonts w:ascii="方正楷体简体" w:eastAsia="方正楷体简体"/>
          <w:color w:val="000000"/>
          <w:kern w:val="0"/>
          <w:sz w:val="32"/>
          <w:szCs w:val="32"/>
        </w:rPr>
      </w:pPr>
      <w:r>
        <w:drawing>
          <wp:inline distT="0" distB="0" distL="114300" distR="114300">
            <wp:extent cx="4477385" cy="2971800"/>
            <wp:effectExtent l="4445" t="4445" r="13970" b="14605"/>
            <wp:docPr id="2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autoSpaceDE w:val="0"/>
        <w:autoSpaceDN w:val="0"/>
        <w:adjustRightInd w:val="0"/>
        <w:spacing w:line="578" w:lineRule="exact"/>
        <w:jc w:val="center"/>
        <w:rPr>
          <w:rFonts w:ascii="方正楷体简体" w:eastAsia="方正楷体简体"/>
          <w:color w:val="000000"/>
          <w:kern w:val="0"/>
          <w:sz w:val="32"/>
          <w:szCs w:val="32"/>
        </w:rPr>
      </w:pPr>
      <w:r>
        <w:rPr>
          <w:rFonts w:hint="eastAsia" w:ascii="方正楷体简体" w:eastAsia="方正楷体简体"/>
          <w:color w:val="000000"/>
          <w:kern w:val="0"/>
          <w:sz w:val="32"/>
          <w:szCs w:val="32"/>
        </w:rPr>
        <w:t>图6 财政拨款支出决算结构</w:t>
      </w:r>
    </w:p>
    <w:p>
      <w:pPr>
        <w:autoSpaceDE w:val="0"/>
        <w:autoSpaceDN w:val="0"/>
        <w:adjustRightInd w:val="0"/>
        <w:spacing w:line="578" w:lineRule="exact"/>
        <w:ind w:firstLine="640" w:firstLineChars="200"/>
        <w:jc w:val="left"/>
        <w:rPr>
          <w:rFonts w:ascii="方正楷体简体" w:eastAsia="方正楷体简体"/>
          <w:color w:val="000000"/>
          <w:kern w:val="0"/>
          <w:sz w:val="32"/>
          <w:szCs w:val="32"/>
        </w:rPr>
      </w:pPr>
      <w:r>
        <w:rPr>
          <w:rFonts w:hint="eastAsia" w:ascii="方正楷体简体" w:eastAsia="方正楷体简体"/>
          <w:color w:val="000000"/>
          <w:kern w:val="0"/>
          <w:sz w:val="32"/>
          <w:szCs w:val="32"/>
        </w:rPr>
        <w:t>（三）财政拨款支出决算具体情况。</w:t>
      </w:r>
    </w:p>
    <w:p>
      <w:pPr>
        <w:autoSpaceDE w:val="0"/>
        <w:autoSpaceDN w:val="0"/>
        <w:adjustRightInd w:val="0"/>
        <w:spacing w:line="578" w:lineRule="exact"/>
        <w:ind w:firstLine="640" w:firstLineChars="200"/>
        <w:jc w:val="left"/>
        <w:rPr>
          <w:rFonts w:eastAsia="方正仿宋简体"/>
          <w:color w:val="auto"/>
          <w:kern w:val="0"/>
          <w:sz w:val="32"/>
          <w:szCs w:val="32"/>
        </w:rPr>
      </w:pPr>
      <w:r>
        <w:rPr>
          <w:rFonts w:hint="eastAsia" w:eastAsia="方正仿宋简体"/>
          <w:color w:val="auto"/>
          <w:kern w:val="0"/>
          <w:sz w:val="32"/>
          <w:szCs w:val="32"/>
          <w:lang w:eastAsia="zh-CN"/>
        </w:rPr>
        <w:t>2021年度</w:t>
      </w:r>
      <w:r>
        <w:rPr>
          <w:rFonts w:eastAsia="方正仿宋简体"/>
          <w:color w:val="auto"/>
          <w:kern w:val="0"/>
          <w:sz w:val="32"/>
          <w:szCs w:val="32"/>
        </w:rPr>
        <w:t>财政拨款</w:t>
      </w:r>
      <w:r>
        <w:rPr>
          <w:rFonts w:hint="eastAsia" w:eastAsia="方正仿宋简体"/>
          <w:color w:val="auto"/>
          <w:kern w:val="0"/>
          <w:sz w:val="32"/>
          <w:szCs w:val="32"/>
          <w:lang w:eastAsia="zh-CN"/>
        </w:rPr>
        <w:t>支出年初</w:t>
      </w:r>
      <w:r>
        <w:rPr>
          <w:rFonts w:eastAsia="方正仿宋简体"/>
          <w:color w:val="auto"/>
          <w:kern w:val="0"/>
          <w:sz w:val="32"/>
          <w:szCs w:val="32"/>
        </w:rPr>
        <w:t>预算为</w:t>
      </w:r>
      <w:r>
        <w:rPr>
          <w:rFonts w:hint="eastAsia" w:eastAsia="方正仿宋简体"/>
          <w:color w:val="auto"/>
          <w:kern w:val="0"/>
          <w:sz w:val="32"/>
          <w:szCs w:val="32"/>
        </w:rPr>
        <w:t>83,725.52</w:t>
      </w:r>
      <w:r>
        <w:rPr>
          <w:rFonts w:eastAsia="方正仿宋简体"/>
          <w:color w:val="auto"/>
          <w:kern w:val="0"/>
          <w:sz w:val="32"/>
          <w:szCs w:val="32"/>
        </w:rPr>
        <w:t>万元，支出决算为</w:t>
      </w:r>
      <w:r>
        <w:rPr>
          <w:rFonts w:hint="eastAsia" w:eastAsia="方正仿宋简体"/>
          <w:color w:val="auto"/>
          <w:kern w:val="0"/>
          <w:sz w:val="32"/>
          <w:szCs w:val="32"/>
        </w:rPr>
        <w:t>43,898.66</w:t>
      </w:r>
      <w:r>
        <w:rPr>
          <w:rFonts w:eastAsia="方正仿宋简体"/>
          <w:color w:val="auto"/>
          <w:kern w:val="0"/>
          <w:sz w:val="32"/>
          <w:szCs w:val="32"/>
        </w:rPr>
        <w:t>万元，完成</w:t>
      </w:r>
      <w:r>
        <w:rPr>
          <w:rFonts w:hint="eastAsia" w:eastAsia="方正仿宋简体"/>
          <w:color w:val="auto"/>
          <w:kern w:val="0"/>
          <w:sz w:val="32"/>
          <w:szCs w:val="32"/>
        </w:rPr>
        <w:t>年初</w:t>
      </w:r>
      <w:r>
        <w:rPr>
          <w:rFonts w:eastAsia="方正仿宋简体"/>
          <w:color w:val="auto"/>
          <w:kern w:val="0"/>
          <w:sz w:val="32"/>
          <w:szCs w:val="32"/>
        </w:rPr>
        <w:t>预算的</w:t>
      </w:r>
      <w:r>
        <w:rPr>
          <w:rFonts w:hint="eastAsia" w:eastAsia="方正仿宋简体"/>
          <w:color w:val="auto"/>
          <w:kern w:val="0"/>
          <w:sz w:val="32"/>
          <w:szCs w:val="32"/>
          <w:lang w:val="en-US" w:eastAsia="zh-CN"/>
        </w:rPr>
        <w:t>52.43</w:t>
      </w:r>
      <w:r>
        <w:rPr>
          <w:rFonts w:eastAsia="方正仿宋简体"/>
          <w:color w:val="auto"/>
          <w:kern w:val="0"/>
          <w:sz w:val="32"/>
          <w:szCs w:val="32"/>
        </w:rPr>
        <w:t>%。</w:t>
      </w:r>
    </w:p>
    <w:p>
      <w:pPr>
        <w:autoSpaceDE w:val="0"/>
        <w:autoSpaceDN w:val="0"/>
        <w:adjustRightInd w:val="0"/>
        <w:spacing w:line="578" w:lineRule="exact"/>
        <w:ind w:firstLine="640" w:firstLineChars="200"/>
        <w:jc w:val="left"/>
        <w:rPr>
          <w:rFonts w:hint="eastAsia" w:eastAsia="方正仿宋简体"/>
          <w:color w:val="auto"/>
          <w:sz w:val="32"/>
          <w:szCs w:val="32"/>
          <w:lang w:eastAsia="zh-CN"/>
        </w:rPr>
      </w:pPr>
      <w:r>
        <w:rPr>
          <w:rFonts w:eastAsia="方正仿宋简体"/>
          <w:color w:val="auto"/>
          <w:sz w:val="32"/>
          <w:szCs w:val="32"/>
          <w:lang w:bidi="ar"/>
        </w:rPr>
        <w:t>1.</w:t>
      </w:r>
      <w:r>
        <w:rPr>
          <w:rFonts w:eastAsia="方正仿宋简体"/>
          <w:b/>
          <w:color w:val="auto"/>
          <w:sz w:val="32"/>
          <w:szCs w:val="32"/>
          <w:lang w:bidi="ar"/>
        </w:rPr>
        <w:t>住房保障（类）住房改革支出（款）住房公积金（项）</w:t>
      </w:r>
      <w:r>
        <w:rPr>
          <w:rFonts w:hint="eastAsia" w:eastAsia="方正仿宋简体"/>
          <w:bCs/>
          <w:color w:val="auto"/>
          <w:sz w:val="32"/>
          <w:szCs w:val="32"/>
          <w:lang w:bidi="ar"/>
        </w:rPr>
        <w:t>年初</w:t>
      </w:r>
      <w:r>
        <w:rPr>
          <w:rFonts w:eastAsia="方正仿宋简体"/>
          <w:color w:val="auto"/>
          <w:sz w:val="32"/>
          <w:szCs w:val="32"/>
        </w:rPr>
        <w:t>预算为</w:t>
      </w:r>
      <w:r>
        <w:rPr>
          <w:rFonts w:hint="eastAsia" w:eastAsia="方正仿宋简体"/>
          <w:color w:val="auto"/>
          <w:sz w:val="32"/>
          <w:szCs w:val="32"/>
          <w:lang w:val="en-US" w:eastAsia="zh-CN"/>
        </w:rPr>
        <w:t>2,096.00</w:t>
      </w:r>
      <w:r>
        <w:rPr>
          <w:rFonts w:eastAsia="方正仿宋简体"/>
          <w:color w:val="auto"/>
          <w:sz w:val="32"/>
          <w:szCs w:val="32"/>
        </w:rPr>
        <w:t>万元，</w:t>
      </w:r>
      <w:r>
        <w:rPr>
          <w:rFonts w:eastAsia="方正仿宋简体"/>
          <w:color w:val="auto"/>
          <w:kern w:val="0"/>
          <w:sz w:val="32"/>
          <w:szCs w:val="32"/>
        </w:rPr>
        <w:t>支出决算为</w:t>
      </w:r>
      <w:r>
        <w:rPr>
          <w:rFonts w:hint="eastAsia" w:eastAsia="方正仿宋简体"/>
          <w:color w:val="auto"/>
          <w:sz w:val="32"/>
          <w:szCs w:val="32"/>
          <w:lang w:val="en-US" w:eastAsia="zh-CN"/>
        </w:rPr>
        <w:t>1,885.58</w:t>
      </w:r>
      <w:r>
        <w:rPr>
          <w:rFonts w:hint="eastAsia" w:eastAsia="方正仿宋简体"/>
          <w:color w:val="auto"/>
          <w:sz w:val="32"/>
          <w:szCs w:val="32"/>
          <w:lang w:eastAsia="zh-CN"/>
        </w:rPr>
        <w:t>万元，</w:t>
      </w:r>
      <w:r>
        <w:rPr>
          <w:rFonts w:eastAsia="方正仿宋简体"/>
          <w:color w:val="auto"/>
          <w:kern w:val="0"/>
          <w:sz w:val="32"/>
          <w:szCs w:val="32"/>
        </w:rPr>
        <w:t>完成年初预算的</w:t>
      </w:r>
      <w:r>
        <w:rPr>
          <w:rFonts w:hint="eastAsia" w:eastAsia="方正仿宋简体"/>
          <w:color w:val="auto"/>
          <w:kern w:val="0"/>
          <w:sz w:val="32"/>
          <w:szCs w:val="32"/>
          <w:lang w:val="en-US" w:eastAsia="zh-CN"/>
        </w:rPr>
        <w:t>89.96</w:t>
      </w:r>
      <w:r>
        <w:rPr>
          <w:rFonts w:eastAsia="方正仿宋简体"/>
          <w:color w:val="auto"/>
          <w:kern w:val="0"/>
          <w:sz w:val="32"/>
          <w:szCs w:val="32"/>
        </w:rPr>
        <w:t>%。</w:t>
      </w:r>
    </w:p>
    <w:p>
      <w:pPr>
        <w:spacing w:line="578" w:lineRule="exact"/>
        <w:ind w:firstLine="709"/>
        <w:rPr>
          <w:rFonts w:eastAsia="方正仿宋简体"/>
          <w:color w:val="auto"/>
          <w:sz w:val="32"/>
          <w:szCs w:val="32"/>
        </w:rPr>
      </w:pPr>
      <w:r>
        <w:rPr>
          <w:rFonts w:eastAsia="方正仿宋简体"/>
          <w:color w:val="auto"/>
          <w:sz w:val="32"/>
          <w:szCs w:val="32"/>
          <w:lang w:bidi="ar"/>
        </w:rPr>
        <w:t>2.</w:t>
      </w:r>
      <w:r>
        <w:rPr>
          <w:rFonts w:eastAsia="方正仿宋简体"/>
          <w:b/>
          <w:color w:val="auto"/>
          <w:sz w:val="32"/>
          <w:szCs w:val="32"/>
          <w:lang w:bidi="ar"/>
        </w:rPr>
        <w:t>住房保障（类）住房改革支出（款）购房补贴（项）。</w:t>
      </w:r>
      <w:r>
        <w:rPr>
          <w:rFonts w:eastAsia="方正仿宋简体"/>
          <w:color w:val="auto"/>
          <w:kern w:val="0"/>
          <w:sz w:val="32"/>
          <w:szCs w:val="32"/>
        </w:rPr>
        <w:t>年初预算</w:t>
      </w:r>
      <w:r>
        <w:rPr>
          <w:rFonts w:eastAsia="方正仿宋简体"/>
          <w:color w:val="auto"/>
          <w:sz w:val="32"/>
          <w:szCs w:val="32"/>
        </w:rPr>
        <w:t>为</w:t>
      </w:r>
      <w:r>
        <w:rPr>
          <w:rFonts w:hint="eastAsia" w:eastAsia="方正仿宋简体"/>
          <w:color w:val="auto"/>
          <w:sz w:val="32"/>
          <w:szCs w:val="32"/>
          <w:lang w:val="en-US" w:eastAsia="zh-CN"/>
        </w:rPr>
        <w:t>596.50</w:t>
      </w:r>
      <w:r>
        <w:rPr>
          <w:rFonts w:eastAsia="方正仿宋简体"/>
          <w:color w:val="auto"/>
          <w:sz w:val="32"/>
          <w:szCs w:val="32"/>
        </w:rPr>
        <w:t>万元，</w:t>
      </w:r>
      <w:r>
        <w:rPr>
          <w:rFonts w:eastAsia="方正仿宋简体"/>
          <w:color w:val="auto"/>
          <w:kern w:val="0"/>
          <w:sz w:val="32"/>
          <w:szCs w:val="32"/>
        </w:rPr>
        <w:t>支出决算为</w:t>
      </w:r>
      <w:r>
        <w:rPr>
          <w:rFonts w:hint="eastAsia" w:eastAsia="方正仿宋简体"/>
          <w:color w:val="auto"/>
          <w:kern w:val="0"/>
          <w:sz w:val="32"/>
          <w:szCs w:val="32"/>
          <w:lang w:val="en-US" w:eastAsia="zh-CN"/>
        </w:rPr>
        <w:t>279.00</w:t>
      </w:r>
      <w:r>
        <w:rPr>
          <w:rFonts w:eastAsia="方正仿宋简体"/>
          <w:color w:val="auto"/>
          <w:kern w:val="0"/>
          <w:sz w:val="32"/>
          <w:szCs w:val="32"/>
        </w:rPr>
        <w:t>万元，完成年初预算的</w:t>
      </w:r>
      <w:r>
        <w:rPr>
          <w:rFonts w:hint="eastAsia" w:eastAsia="方正仿宋简体"/>
          <w:color w:val="auto"/>
          <w:kern w:val="0"/>
          <w:sz w:val="32"/>
          <w:szCs w:val="32"/>
          <w:lang w:val="en-US" w:eastAsia="zh-CN"/>
        </w:rPr>
        <w:t>46.77</w:t>
      </w:r>
      <w:r>
        <w:rPr>
          <w:rFonts w:eastAsia="方正仿宋简体"/>
          <w:color w:val="auto"/>
          <w:kern w:val="0"/>
          <w:sz w:val="32"/>
          <w:szCs w:val="32"/>
        </w:rPr>
        <w:t>%。决算数</w:t>
      </w:r>
      <w:r>
        <w:rPr>
          <w:rFonts w:hint="eastAsia" w:eastAsia="方正仿宋简体"/>
          <w:color w:val="auto"/>
          <w:kern w:val="0"/>
          <w:sz w:val="32"/>
          <w:szCs w:val="32"/>
        </w:rPr>
        <w:t>小于</w:t>
      </w:r>
      <w:r>
        <w:rPr>
          <w:rFonts w:eastAsia="方正仿宋简体"/>
          <w:color w:val="auto"/>
          <w:kern w:val="0"/>
          <w:sz w:val="32"/>
          <w:szCs w:val="32"/>
        </w:rPr>
        <w:t>预算数的主要原因</w:t>
      </w:r>
      <w:r>
        <w:rPr>
          <w:rFonts w:eastAsia="方正仿宋简体"/>
          <w:color w:val="auto"/>
          <w:sz w:val="32"/>
          <w:szCs w:val="32"/>
        </w:rPr>
        <w:t>是</w:t>
      </w:r>
      <w:r>
        <w:rPr>
          <w:rFonts w:hint="eastAsia" w:eastAsia="方正仿宋简体"/>
          <w:color w:val="auto"/>
          <w:sz w:val="32"/>
          <w:szCs w:val="32"/>
          <w:lang w:eastAsia="zh-CN"/>
        </w:rPr>
        <w:t>，森林消防队伍2021年度才落实新工资政策，执行预算前才最终确定购房补贴的支出政策，部分单位已安排的预算无法支出</w:t>
      </w:r>
      <w:r>
        <w:rPr>
          <w:rFonts w:eastAsia="方正仿宋简体"/>
          <w:color w:val="auto"/>
          <w:sz w:val="32"/>
          <w:szCs w:val="32"/>
        </w:rPr>
        <w:t>。</w:t>
      </w:r>
    </w:p>
    <w:p>
      <w:pPr>
        <w:autoSpaceDE w:val="0"/>
        <w:autoSpaceDN w:val="0"/>
        <w:adjustRightInd w:val="0"/>
        <w:spacing w:line="578" w:lineRule="exact"/>
        <w:ind w:firstLine="640" w:firstLineChars="200"/>
        <w:jc w:val="left"/>
        <w:rPr>
          <w:rFonts w:eastAsia="方正仿宋简体"/>
          <w:color w:val="auto"/>
          <w:kern w:val="0"/>
          <w:sz w:val="32"/>
          <w:szCs w:val="32"/>
        </w:rPr>
      </w:pPr>
      <w:r>
        <w:rPr>
          <w:rFonts w:hint="eastAsia" w:eastAsia="方正仿宋简体"/>
          <w:color w:val="auto"/>
          <w:sz w:val="32"/>
          <w:szCs w:val="32"/>
          <w:lang w:val="en-US" w:eastAsia="zh-CN" w:bidi="ar"/>
        </w:rPr>
        <w:t>3</w:t>
      </w:r>
      <w:r>
        <w:rPr>
          <w:rFonts w:eastAsia="方正仿宋简体"/>
          <w:color w:val="auto"/>
          <w:sz w:val="32"/>
          <w:szCs w:val="32"/>
          <w:lang w:bidi="ar"/>
        </w:rPr>
        <w:t>.</w:t>
      </w:r>
      <w:r>
        <w:rPr>
          <w:rFonts w:eastAsia="方正仿宋简体"/>
          <w:b/>
          <w:color w:val="auto"/>
          <w:sz w:val="32"/>
          <w:szCs w:val="32"/>
          <w:lang w:bidi="ar"/>
        </w:rPr>
        <w:t>灾害防治及应急管理支出（类）森林消防事务（款）行政运行（项）。</w:t>
      </w:r>
      <w:r>
        <w:rPr>
          <w:rFonts w:eastAsia="方正仿宋简体"/>
          <w:color w:val="auto"/>
          <w:sz w:val="32"/>
          <w:szCs w:val="32"/>
        </w:rPr>
        <w:t>年初预算为</w:t>
      </w:r>
      <w:r>
        <w:rPr>
          <w:rFonts w:hint="eastAsia" w:eastAsia="方正仿宋简体"/>
          <w:color w:val="auto"/>
          <w:sz w:val="32"/>
          <w:szCs w:val="32"/>
          <w:lang w:val="en-US" w:eastAsia="zh-CN"/>
        </w:rPr>
        <w:t>54,553.57</w:t>
      </w:r>
      <w:r>
        <w:rPr>
          <w:rFonts w:eastAsia="方正仿宋简体"/>
          <w:color w:val="auto"/>
          <w:sz w:val="32"/>
          <w:szCs w:val="32"/>
        </w:rPr>
        <w:t>万元</w:t>
      </w:r>
      <w:r>
        <w:rPr>
          <w:rFonts w:eastAsia="方正仿宋简体"/>
          <w:color w:val="auto"/>
          <w:kern w:val="0"/>
          <w:sz w:val="32"/>
          <w:szCs w:val="32"/>
        </w:rPr>
        <w:t>，支出决算为</w:t>
      </w:r>
      <w:r>
        <w:rPr>
          <w:rFonts w:hint="eastAsia" w:eastAsia="方正仿宋简体"/>
          <w:color w:val="auto"/>
          <w:kern w:val="0"/>
          <w:sz w:val="32"/>
          <w:szCs w:val="32"/>
          <w:lang w:val="en-US" w:eastAsia="zh-CN"/>
        </w:rPr>
        <w:t>29,384.20</w:t>
      </w:r>
      <w:r>
        <w:rPr>
          <w:rFonts w:eastAsia="方正仿宋简体"/>
          <w:color w:val="auto"/>
          <w:kern w:val="0"/>
          <w:sz w:val="32"/>
          <w:szCs w:val="32"/>
        </w:rPr>
        <w:t>万元，完成年初预算的</w:t>
      </w:r>
      <w:r>
        <w:rPr>
          <w:rFonts w:hint="eastAsia" w:eastAsia="方正仿宋简体"/>
          <w:color w:val="auto"/>
          <w:kern w:val="0"/>
          <w:sz w:val="32"/>
          <w:szCs w:val="32"/>
          <w:lang w:val="en-US" w:eastAsia="zh-CN"/>
        </w:rPr>
        <w:t>53.86</w:t>
      </w:r>
      <w:r>
        <w:rPr>
          <w:rFonts w:eastAsia="方正仿宋简体"/>
          <w:color w:val="auto"/>
          <w:kern w:val="0"/>
          <w:sz w:val="32"/>
          <w:szCs w:val="32"/>
        </w:rPr>
        <w:t>%。决算数</w:t>
      </w:r>
      <w:r>
        <w:rPr>
          <w:rFonts w:hint="eastAsia" w:eastAsia="方正仿宋简体"/>
          <w:color w:val="auto"/>
          <w:kern w:val="0"/>
          <w:sz w:val="32"/>
          <w:szCs w:val="32"/>
        </w:rPr>
        <w:t>小</w:t>
      </w:r>
      <w:r>
        <w:rPr>
          <w:rFonts w:eastAsia="方正仿宋简体"/>
          <w:color w:val="auto"/>
          <w:kern w:val="0"/>
          <w:sz w:val="32"/>
          <w:szCs w:val="32"/>
        </w:rPr>
        <w:t>于预算数的主要原因是</w:t>
      </w:r>
      <w:r>
        <w:rPr>
          <w:rFonts w:hint="eastAsia" w:eastAsia="方正仿宋简体"/>
          <w:color w:val="auto"/>
          <w:kern w:val="0"/>
          <w:sz w:val="32"/>
          <w:szCs w:val="32"/>
          <w:lang w:eastAsia="zh-CN"/>
        </w:rPr>
        <w:t>，森林消防队伍实有人数少于编制数，实际招录的消防员不及计划招录数，导致人员经费决算数小于预算数</w:t>
      </w:r>
      <w:r>
        <w:rPr>
          <w:rFonts w:hint="eastAsia" w:eastAsia="方正仿宋简体"/>
          <w:color w:val="auto"/>
          <w:kern w:val="0"/>
          <w:sz w:val="32"/>
          <w:szCs w:val="32"/>
        </w:rPr>
        <w:t>。</w:t>
      </w:r>
    </w:p>
    <w:p>
      <w:pPr>
        <w:spacing w:line="578" w:lineRule="exact"/>
        <w:ind w:firstLine="640" w:firstLineChars="200"/>
        <w:rPr>
          <w:rFonts w:eastAsia="方正仿宋简体"/>
          <w:color w:val="auto"/>
          <w:sz w:val="32"/>
          <w:szCs w:val="32"/>
          <w:highlight w:val="green"/>
        </w:rPr>
      </w:pPr>
      <w:r>
        <w:rPr>
          <w:rFonts w:hint="eastAsia" w:eastAsia="方正仿宋简体"/>
          <w:color w:val="auto"/>
          <w:sz w:val="32"/>
          <w:szCs w:val="32"/>
          <w:lang w:val="en-US" w:eastAsia="zh-CN" w:bidi="ar"/>
        </w:rPr>
        <w:t>4</w:t>
      </w:r>
      <w:r>
        <w:rPr>
          <w:rFonts w:eastAsia="方正仿宋简体"/>
          <w:color w:val="auto"/>
          <w:sz w:val="32"/>
          <w:szCs w:val="32"/>
          <w:lang w:bidi="ar"/>
        </w:rPr>
        <w:t>.</w:t>
      </w:r>
      <w:r>
        <w:rPr>
          <w:rFonts w:eastAsia="方正仿宋简体"/>
          <w:b/>
          <w:color w:val="auto"/>
          <w:sz w:val="32"/>
          <w:szCs w:val="32"/>
          <w:lang w:bidi="ar"/>
        </w:rPr>
        <w:t>灾害防治及应急管理支出（类）森林消防事务（款）森林消防应急救援（项）。</w:t>
      </w:r>
      <w:r>
        <w:rPr>
          <w:rFonts w:eastAsia="方正仿宋简体"/>
          <w:color w:val="auto"/>
          <w:sz w:val="32"/>
          <w:szCs w:val="32"/>
          <w:lang w:bidi="ar"/>
        </w:rPr>
        <w:t>年初</w:t>
      </w:r>
      <w:r>
        <w:rPr>
          <w:rFonts w:eastAsia="方正仿宋简体"/>
          <w:color w:val="auto"/>
          <w:sz w:val="32"/>
          <w:szCs w:val="32"/>
        </w:rPr>
        <w:t>预算为</w:t>
      </w:r>
      <w:r>
        <w:rPr>
          <w:rFonts w:hint="eastAsia" w:eastAsia="方正仿宋简体"/>
          <w:color w:val="auto"/>
          <w:sz w:val="32"/>
          <w:szCs w:val="32"/>
          <w:lang w:val="en-US" w:eastAsia="zh-CN"/>
        </w:rPr>
        <w:t>26,579.44</w:t>
      </w:r>
      <w:r>
        <w:rPr>
          <w:rFonts w:eastAsia="方正仿宋简体"/>
          <w:color w:val="auto"/>
          <w:sz w:val="32"/>
          <w:szCs w:val="32"/>
        </w:rPr>
        <w:t>万元</w:t>
      </w:r>
      <w:r>
        <w:rPr>
          <w:rFonts w:eastAsia="方正仿宋简体"/>
          <w:color w:val="auto"/>
          <w:kern w:val="0"/>
          <w:sz w:val="32"/>
          <w:szCs w:val="32"/>
        </w:rPr>
        <w:t>，支出决算为</w:t>
      </w:r>
      <w:r>
        <w:rPr>
          <w:rFonts w:hint="eastAsia" w:eastAsia="方正仿宋简体"/>
          <w:color w:val="auto"/>
          <w:kern w:val="0"/>
          <w:sz w:val="32"/>
          <w:szCs w:val="32"/>
          <w:lang w:val="en-US" w:eastAsia="zh-CN"/>
        </w:rPr>
        <w:t>12,349.88</w:t>
      </w:r>
      <w:r>
        <w:rPr>
          <w:rFonts w:eastAsia="方正仿宋简体"/>
          <w:color w:val="auto"/>
          <w:kern w:val="0"/>
          <w:sz w:val="32"/>
          <w:szCs w:val="32"/>
        </w:rPr>
        <w:t>万元，完成年初预算的</w:t>
      </w:r>
      <w:r>
        <w:rPr>
          <w:rFonts w:hint="eastAsia" w:eastAsia="方正仿宋简体"/>
          <w:color w:val="auto"/>
          <w:kern w:val="0"/>
          <w:sz w:val="32"/>
          <w:szCs w:val="32"/>
          <w:lang w:val="en-US" w:eastAsia="zh-CN"/>
        </w:rPr>
        <w:t>46.46</w:t>
      </w:r>
      <w:r>
        <w:rPr>
          <w:rFonts w:eastAsia="方正仿宋简体"/>
          <w:color w:val="auto"/>
          <w:kern w:val="0"/>
          <w:sz w:val="32"/>
          <w:szCs w:val="32"/>
        </w:rPr>
        <w:t>%。决算数</w:t>
      </w:r>
      <w:r>
        <w:rPr>
          <w:rFonts w:hint="eastAsia" w:eastAsia="方正仿宋简体"/>
          <w:color w:val="auto"/>
          <w:kern w:val="0"/>
          <w:sz w:val="32"/>
          <w:szCs w:val="32"/>
        </w:rPr>
        <w:t>小</w:t>
      </w:r>
      <w:r>
        <w:rPr>
          <w:rFonts w:eastAsia="方正仿宋简体"/>
          <w:color w:val="auto"/>
          <w:kern w:val="0"/>
          <w:sz w:val="32"/>
          <w:szCs w:val="32"/>
        </w:rPr>
        <w:t>于预算数的主要原因</w:t>
      </w:r>
      <w:r>
        <w:rPr>
          <w:rFonts w:hint="eastAsia" w:eastAsia="方正仿宋简体"/>
          <w:color w:val="auto"/>
          <w:kern w:val="0"/>
          <w:sz w:val="32"/>
          <w:szCs w:val="32"/>
        </w:rPr>
        <w:t>：一</w:t>
      </w:r>
      <w:r>
        <w:rPr>
          <w:rFonts w:eastAsia="方正仿宋简体"/>
          <w:color w:val="auto"/>
          <w:kern w:val="0"/>
          <w:sz w:val="32"/>
          <w:szCs w:val="32"/>
        </w:rPr>
        <w:t>是</w:t>
      </w:r>
      <w:r>
        <w:rPr>
          <w:rFonts w:hint="eastAsia" w:eastAsia="方正仿宋简体"/>
          <w:color w:val="auto"/>
          <w:kern w:val="0"/>
          <w:sz w:val="32"/>
          <w:szCs w:val="32"/>
        </w:rPr>
        <w:t>部分项目</w:t>
      </w:r>
      <w:r>
        <w:rPr>
          <w:rFonts w:hint="eastAsia" w:eastAsia="方正仿宋简体"/>
          <w:color w:val="auto"/>
          <w:kern w:val="0"/>
          <w:sz w:val="32"/>
          <w:szCs w:val="32"/>
          <w:lang w:eastAsia="zh-CN"/>
        </w:rPr>
        <w:t>的实施周期较长，年内尚未支付资金</w:t>
      </w:r>
      <w:r>
        <w:rPr>
          <w:rFonts w:hint="eastAsia" w:eastAsia="方正仿宋简体"/>
          <w:color w:val="auto"/>
          <w:kern w:val="0"/>
          <w:sz w:val="32"/>
          <w:szCs w:val="32"/>
        </w:rPr>
        <w:t>；二是受疫情影响，部分项目未能按计划开展工作。</w:t>
      </w:r>
    </w:p>
    <w:p>
      <w:pPr>
        <w:pStyle w:val="27"/>
        <w:spacing w:line="578" w:lineRule="exact"/>
        <w:ind w:firstLine="600" w:firstLineChars="200"/>
        <w:outlineLvl w:val="1"/>
        <w:rPr>
          <w:rFonts w:ascii="方正黑体简体" w:eastAsia="方正黑体简体" w:cs="Times New Roman"/>
          <w:sz w:val="30"/>
          <w:szCs w:val="30"/>
        </w:rPr>
      </w:pPr>
      <w:r>
        <w:rPr>
          <w:rFonts w:hint="eastAsia" w:ascii="方正黑体简体" w:eastAsia="方正黑体简体" w:cs="Times New Roman"/>
          <w:sz w:val="30"/>
          <w:szCs w:val="30"/>
        </w:rPr>
        <w:t>六、一般公共预算财政拨款基本支出决算情况说明</w:t>
      </w:r>
    </w:p>
    <w:p>
      <w:pPr>
        <w:pStyle w:val="27"/>
        <w:spacing w:line="578" w:lineRule="exact"/>
        <w:ind w:firstLine="640" w:firstLineChars="200"/>
        <w:rPr>
          <w:rFonts w:ascii="Times New Roman" w:eastAsia="方正仿宋简体" w:cs="Times New Roman"/>
          <w:sz w:val="32"/>
          <w:szCs w:val="32"/>
        </w:rPr>
      </w:pPr>
      <w:r>
        <w:rPr>
          <w:rFonts w:hint="eastAsia" w:ascii="Times New Roman" w:eastAsia="方正仿宋简体" w:cs="Times New Roman"/>
          <w:sz w:val="32"/>
          <w:szCs w:val="32"/>
          <w:lang w:eastAsia="zh-CN"/>
        </w:rPr>
        <w:t>2021年度</w:t>
      </w:r>
      <w:r>
        <w:rPr>
          <w:rFonts w:ascii="Times New Roman" w:eastAsia="方正仿宋简体" w:cs="Times New Roman"/>
          <w:sz w:val="32"/>
          <w:szCs w:val="32"/>
        </w:rPr>
        <w:t>财政拨款基本支出</w:t>
      </w:r>
      <w:r>
        <w:rPr>
          <w:rFonts w:hint="eastAsia" w:ascii="Times New Roman" w:eastAsia="方正仿宋简体" w:cs="Times New Roman"/>
          <w:sz w:val="32"/>
          <w:szCs w:val="32"/>
        </w:rPr>
        <w:t>31,548.78</w:t>
      </w:r>
      <w:r>
        <w:rPr>
          <w:rFonts w:ascii="Times New Roman" w:eastAsia="方正仿宋简体" w:cs="Times New Roman"/>
          <w:sz w:val="32"/>
          <w:szCs w:val="32"/>
        </w:rPr>
        <w:t>万元，其中：人员经费</w:t>
      </w:r>
      <w:r>
        <w:rPr>
          <w:rFonts w:hint="eastAsia" w:ascii="Times New Roman" w:eastAsia="方正仿宋简体" w:cs="Times New Roman"/>
          <w:sz w:val="32"/>
          <w:szCs w:val="32"/>
        </w:rPr>
        <w:t>30,154.47</w:t>
      </w:r>
      <w:r>
        <w:rPr>
          <w:rFonts w:ascii="Times New Roman" w:eastAsia="方正仿宋简体" w:cs="Times New Roman"/>
          <w:sz w:val="32"/>
          <w:szCs w:val="32"/>
        </w:rPr>
        <w:t>万元，主要包括基本工资、津贴补贴、奖金、其他社会保障缴费、</w:t>
      </w:r>
      <w:r>
        <w:rPr>
          <w:rFonts w:hint="eastAsia" w:ascii="Times New Roman" w:eastAsia="方正仿宋简体" w:cs="Times New Roman"/>
          <w:sz w:val="32"/>
          <w:szCs w:val="32"/>
          <w:lang w:eastAsia="zh-CN"/>
        </w:rPr>
        <w:t>住房公积金、</w:t>
      </w:r>
      <w:r>
        <w:rPr>
          <w:rFonts w:ascii="Times New Roman" w:eastAsia="方正仿宋简体" w:cs="Times New Roman"/>
          <w:sz w:val="32"/>
          <w:szCs w:val="32"/>
        </w:rPr>
        <w:t>医疗费、其他工资福利支出、离休费、退休费、</w:t>
      </w:r>
      <w:r>
        <w:rPr>
          <w:rFonts w:hint="eastAsia" w:ascii="Times New Roman" w:eastAsia="方正仿宋简体" w:cs="Times New Roman"/>
          <w:sz w:val="32"/>
          <w:szCs w:val="32"/>
        </w:rPr>
        <w:t>退职（役）费、</w:t>
      </w:r>
      <w:r>
        <w:rPr>
          <w:rFonts w:ascii="Times New Roman" w:eastAsia="方正仿宋简体" w:cs="Times New Roman"/>
          <w:sz w:val="32"/>
          <w:szCs w:val="32"/>
        </w:rPr>
        <w:t>抚恤金、生活补助、</w:t>
      </w:r>
      <w:r>
        <w:rPr>
          <w:rFonts w:hint="eastAsia" w:ascii="Times New Roman" w:eastAsia="方正仿宋简体" w:cs="Times New Roman"/>
          <w:sz w:val="32"/>
          <w:szCs w:val="32"/>
        </w:rPr>
        <w:t>救济费、</w:t>
      </w:r>
      <w:r>
        <w:rPr>
          <w:rFonts w:ascii="Times New Roman" w:eastAsia="方正仿宋简体" w:cs="Times New Roman"/>
          <w:sz w:val="32"/>
          <w:szCs w:val="32"/>
        </w:rPr>
        <w:t>奖励金、其他对个人和家庭的补助；公用经费</w:t>
      </w:r>
      <w:r>
        <w:rPr>
          <w:rFonts w:hint="eastAsia" w:ascii="Times New Roman" w:eastAsia="方正仿宋简体" w:cs="Times New Roman"/>
          <w:sz w:val="32"/>
          <w:szCs w:val="32"/>
        </w:rPr>
        <w:t>1,394.32</w:t>
      </w:r>
      <w:r>
        <w:rPr>
          <w:rFonts w:ascii="Times New Roman" w:eastAsia="方正仿宋简体" w:cs="Times New Roman"/>
          <w:sz w:val="32"/>
          <w:szCs w:val="32"/>
        </w:rPr>
        <w:t>万元，主要包括办公费、印刷费、咨询费、手续费、水费、电费、邮电费、取暖费、物业管理费、差旅费、维修（护）费、租赁费、会议费、培训费、公务接待费、专用材料费、</w:t>
      </w:r>
      <w:r>
        <w:rPr>
          <w:rFonts w:hint="eastAsia" w:ascii="Times New Roman" w:eastAsia="方正仿宋简体" w:cs="Times New Roman"/>
          <w:sz w:val="32"/>
          <w:szCs w:val="32"/>
          <w:lang w:eastAsia="zh-CN"/>
        </w:rPr>
        <w:t>专用燃料费、</w:t>
      </w:r>
      <w:r>
        <w:rPr>
          <w:rFonts w:ascii="Times New Roman" w:eastAsia="方正仿宋简体" w:cs="Times New Roman"/>
          <w:sz w:val="32"/>
          <w:szCs w:val="32"/>
        </w:rPr>
        <w:t>劳务费、委托业务费、工会经费、公务用车运行维护费、其他交通费用、其他商品和服务支出、</w:t>
      </w:r>
      <w:r>
        <w:rPr>
          <w:rFonts w:hint="eastAsia" w:ascii="Times New Roman" w:eastAsia="方正仿宋简体" w:cs="Times New Roman"/>
          <w:sz w:val="32"/>
          <w:szCs w:val="32"/>
        </w:rPr>
        <w:t>房屋建筑物购建、</w:t>
      </w:r>
      <w:r>
        <w:rPr>
          <w:rFonts w:ascii="Times New Roman" w:eastAsia="方正仿宋简体" w:cs="Times New Roman"/>
          <w:sz w:val="32"/>
          <w:szCs w:val="32"/>
        </w:rPr>
        <w:t>办公设备购置、专用设备购置、信息网络及软件购置更新、</w:t>
      </w:r>
      <w:r>
        <w:rPr>
          <w:rFonts w:hint="eastAsia" w:ascii="Times New Roman" w:eastAsia="方正仿宋简体" w:cs="Times New Roman"/>
          <w:sz w:val="32"/>
          <w:szCs w:val="32"/>
          <w:lang w:eastAsia="zh-CN"/>
        </w:rPr>
        <w:t>土地补偿、无形资产购置、</w:t>
      </w:r>
      <w:r>
        <w:rPr>
          <w:rFonts w:ascii="Times New Roman" w:eastAsia="方正仿宋简体" w:cs="Times New Roman"/>
          <w:sz w:val="32"/>
          <w:szCs w:val="32"/>
        </w:rPr>
        <w:t>其他资本性支出。</w:t>
      </w:r>
    </w:p>
    <w:p>
      <w:pPr>
        <w:pStyle w:val="27"/>
        <w:spacing w:line="578" w:lineRule="exact"/>
        <w:ind w:firstLine="600" w:firstLineChars="200"/>
        <w:outlineLvl w:val="1"/>
        <w:rPr>
          <w:rFonts w:ascii="方正楷体简体" w:eastAsia="方正楷体简体" w:cs="Times New Roman"/>
          <w:sz w:val="32"/>
          <w:szCs w:val="32"/>
        </w:rPr>
      </w:pPr>
      <w:r>
        <w:rPr>
          <w:rFonts w:hint="eastAsia" w:ascii="方正黑体简体" w:eastAsia="方正黑体简体" w:cs="Times New Roman"/>
          <w:sz w:val="30"/>
          <w:szCs w:val="30"/>
        </w:rPr>
        <w:t>七、一般公共预算财政拨款“三公”经费支出决算情况说明</w:t>
      </w:r>
      <w:r>
        <w:rPr>
          <w:rFonts w:hint="eastAsia" w:ascii="方正楷体简体" w:eastAsia="方正楷体简体" w:cs="Times New Roman"/>
          <w:sz w:val="32"/>
          <w:szCs w:val="32"/>
        </w:rPr>
        <w:t xml:space="preserve"> </w:t>
      </w:r>
    </w:p>
    <w:p>
      <w:pPr>
        <w:spacing w:line="578" w:lineRule="exact"/>
        <w:ind w:firstLine="640" w:firstLineChars="200"/>
        <w:rPr>
          <w:rFonts w:eastAsia="方正仿宋简体"/>
          <w:sz w:val="32"/>
          <w:szCs w:val="32"/>
        </w:rPr>
      </w:pPr>
      <w:r>
        <w:rPr>
          <w:rFonts w:hint="eastAsia" w:eastAsia="方正仿宋简体"/>
          <w:sz w:val="32"/>
          <w:szCs w:val="32"/>
          <w:lang w:eastAsia="zh-CN"/>
        </w:rPr>
        <w:t>2021年度</w:t>
      </w:r>
      <w:r>
        <w:rPr>
          <w:rFonts w:eastAsia="方正仿宋简体"/>
          <w:sz w:val="32"/>
          <w:szCs w:val="32"/>
        </w:rPr>
        <w:t>“三公”经费财政拨款支出预算为</w:t>
      </w:r>
      <w:r>
        <w:rPr>
          <w:rFonts w:hint="eastAsia" w:eastAsia="方正仿宋简体"/>
          <w:sz w:val="32"/>
          <w:szCs w:val="32"/>
        </w:rPr>
        <w:t>130.55</w:t>
      </w:r>
      <w:r>
        <w:rPr>
          <w:rFonts w:eastAsia="方正仿宋简体"/>
          <w:sz w:val="32"/>
          <w:szCs w:val="32"/>
        </w:rPr>
        <w:t>万元，支出决算为</w:t>
      </w:r>
      <w:r>
        <w:rPr>
          <w:rFonts w:hint="eastAsia" w:eastAsia="方正仿宋简体"/>
          <w:sz w:val="32"/>
          <w:szCs w:val="32"/>
          <w:lang w:val="en-US" w:eastAsia="zh-CN"/>
        </w:rPr>
        <w:t>37.54</w:t>
      </w:r>
      <w:r>
        <w:rPr>
          <w:rFonts w:eastAsia="方正仿宋简体"/>
          <w:sz w:val="32"/>
          <w:szCs w:val="32"/>
        </w:rPr>
        <w:t>万元，完成预算的</w:t>
      </w:r>
      <w:r>
        <w:rPr>
          <w:rFonts w:hint="eastAsia" w:eastAsia="方正仿宋简体"/>
          <w:sz w:val="32"/>
          <w:szCs w:val="32"/>
          <w:lang w:val="en-US" w:eastAsia="zh-CN"/>
        </w:rPr>
        <w:t>28.75</w:t>
      </w:r>
      <w:r>
        <w:rPr>
          <w:rFonts w:eastAsia="方正仿宋简体"/>
          <w:sz w:val="32"/>
          <w:szCs w:val="32"/>
        </w:rPr>
        <w:t>%。决算数小于预算数的主要原因是认真落实</w:t>
      </w:r>
      <w:r>
        <w:rPr>
          <w:rFonts w:hint="eastAsia" w:eastAsia="方正仿宋简体"/>
          <w:sz w:val="32"/>
          <w:szCs w:val="32"/>
        </w:rPr>
        <w:t>过紧日子要求</w:t>
      </w:r>
      <w:r>
        <w:rPr>
          <w:rFonts w:eastAsia="方正仿宋简体"/>
          <w:sz w:val="32"/>
          <w:szCs w:val="32"/>
        </w:rPr>
        <w:t>，从严控制“三公”经费开支。</w:t>
      </w:r>
    </w:p>
    <w:p>
      <w:pPr>
        <w:pStyle w:val="27"/>
        <w:spacing w:line="578" w:lineRule="exact"/>
        <w:ind w:firstLine="600" w:firstLineChars="200"/>
        <w:jc w:val="both"/>
        <w:outlineLvl w:val="1"/>
        <w:rPr>
          <w:rFonts w:hint="eastAsia" w:ascii="方正黑体简体" w:eastAsia="方正黑体简体" w:cs="Times New Roman"/>
          <w:sz w:val="30"/>
          <w:szCs w:val="30"/>
          <w:lang w:eastAsia="zh-CN"/>
        </w:rPr>
      </w:pPr>
      <w:r>
        <w:rPr>
          <w:rFonts w:hint="eastAsia" w:ascii="方正黑体简体" w:eastAsia="方正黑体简体" w:cs="Times New Roman"/>
          <w:sz w:val="30"/>
          <w:szCs w:val="30"/>
        </w:rPr>
        <w:t>八、机关运行经费支出情况</w:t>
      </w:r>
      <w:r>
        <w:rPr>
          <w:rFonts w:hint="eastAsia" w:ascii="方正黑体简体" w:eastAsia="方正黑体简体" w:cs="Times New Roman"/>
          <w:sz w:val="30"/>
          <w:szCs w:val="30"/>
          <w:lang w:eastAsia="zh-CN"/>
        </w:rPr>
        <w:t>说明</w:t>
      </w:r>
    </w:p>
    <w:p>
      <w:pPr>
        <w:pStyle w:val="27"/>
        <w:spacing w:line="578" w:lineRule="exact"/>
        <w:ind w:firstLine="640" w:firstLineChars="200"/>
        <w:jc w:val="both"/>
        <w:rPr>
          <w:rFonts w:ascii="Times New Roman" w:eastAsia="方正仿宋简体" w:cs="Times New Roman"/>
          <w:color w:val="auto"/>
          <w:sz w:val="32"/>
          <w:szCs w:val="32"/>
        </w:rPr>
      </w:pPr>
      <w:r>
        <w:rPr>
          <w:rFonts w:hint="default" w:ascii="Times New Roman" w:eastAsia="方正仿宋简体" w:cs="Times New Roman"/>
          <w:sz w:val="32"/>
          <w:szCs w:val="32"/>
          <w:lang w:val="en"/>
        </w:rPr>
        <w:t>福建省森林消防总队</w:t>
      </w:r>
      <w:r>
        <w:rPr>
          <w:rFonts w:hint="eastAsia" w:ascii="Times New Roman" w:eastAsia="方正仿宋简体" w:cs="Times New Roman"/>
          <w:sz w:val="32"/>
          <w:szCs w:val="32"/>
          <w:lang w:eastAsia="zh-CN"/>
        </w:rPr>
        <w:t>2021年度</w:t>
      </w:r>
      <w:r>
        <w:rPr>
          <w:rFonts w:ascii="Times New Roman" w:eastAsia="方正仿宋简体" w:cs="Times New Roman"/>
          <w:sz w:val="32"/>
          <w:szCs w:val="32"/>
        </w:rPr>
        <w:t>机关运行经费支出</w:t>
      </w:r>
      <w:r>
        <w:rPr>
          <w:rFonts w:hint="eastAsia" w:ascii="Times New Roman" w:eastAsia="方正仿宋简体" w:cs="Times New Roman"/>
          <w:sz w:val="32"/>
          <w:szCs w:val="32"/>
          <w:lang w:val="en-US" w:eastAsia="zh-CN"/>
        </w:rPr>
        <w:t>1,394.32</w:t>
      </w:r>
      <w:r>
        <w:rPr>
          <w:rFonts w:ascii="Times New Roman" w:eastAsia="方正仿宋简体" w:cs="Times New Roman"/>
          <w:color w:val="auto"/>
          <w:sz w:val="32"/>
          <w:szCs w:val="32"/>
        </w:rPr>
        <w:t>万元，</w:t>
      </w:r>
      <w:r>
        <w:rPr>
          <w:rFonts w:hint="eastAsia" w:ascii="Times New Roman" w:eastAsia="方正仿宋简体" w:cs="Times New Roman"/>
          <w:color w:val="auto"/>
          <w:sz w:val="32"/>
          <w:szCs w:val="32"/>
        </w:rPr>
        <w:t>比年初预算数减少</w:t>
      </w:r>
      <w:r>
        <w:rPr>
          <w:rFonts w:hint="eastAsia" w:ascii="Times New Roman" w:eastAsia="方正仿宋简体" w:cs="Times New Roman"/>
          <w:color w:val="auto"/>
          <w:sz w:val="32"/>
          <w:szCs w:val="32"/>
          <w:lang w:val="en-US" w:eastAsia="zh-CN"/>
        </w:rPr>
        <w:t>1,607.67</w:t>
      </w:r>
      <w:r>
        <w:rPr>
          <w:rFonts w:hint="eastAsia" w:ascii="Times New Roman" w:eastAsia="方正仿宋简体" w:cs="Times New Roman"/>
          <w:color w:val="auto"/>
          <w:sz w:val="32"/>
          <w:szCs w:val="32"/>
        </w:rPr>
        <w:t>万元，降低</w:t>
      </w:r>
      <w:r>
        <w:rPr>
          <w:rFonts w:hint="eastAsia" w:ascii="Times New Roman" w:eastAsia="方正仿宋简体" w:cs="Times New Roman"/>
          <w:color w:val="auto"/>
          <w:sz w:val="32"/>
          <w:szCs w:val="32"/>
          <w:lang w:val="en-US" w:eastAsia="zh-CN"/>
        </w:rPr>
        <w:t>13.27</w:t>
      </w:r>
      <w:r>
        <w:rPr>
          <w:rFonts w:hint="eastAsia" w:ascii="Times New Roman" w:eastAsia="方正仿宋简体" w:cs="Times New Roman"/>
          <w:color w:val="auto"/>
          <w:sz w:val="32"/>
          <w:szCs w:val="32"/>
        </w:rPr>
        <w:t>%。主要原因是落实过紧日子要求，压减机关运行经费开支。</w:t>
      </w:r>
    </w:p>
    <w:p>
      <w:pPr>
        <w:pStyle w:val="27"/>
        <w:spacing w:line="578" w:lineRule="exact"/>
        <w:ind w:firstLine="600" w:firstLineChars="200"/>
        <w:outlineLvl w:val="1"/>
        <w:rPr>
          <w:rFonts w:hint="eastAsia" w:ascii="方正黑体简体" w:eastAsia="方正黑体简体" w:cs="Times New Roman"/>
          <w:sz w:val="30"/>
          <w:szCs w:val="30"/>
          <w:lang w:eastAsia="zh-CN"/>
        </w:rPr>
      </w:pPr>
      <w:r>
        <w:rPr>
          <w:rFonts w:hint="eastAsia" w:ascii="方正黑体简体" w:eastAsia="方正黑体简体" w:cs="Times New Roman"/>
          <w:sz w:val="30"/>
          <w:szCs w:val="30"/>
        </w:rPr>
        <w:t>九、政府采购支出情况</w:t>
      </w:r>
      <w:r>
        <w:rPr>
          <w:rFonts w:hint="eastAsia" w:ascii="方正黑体简体" w:eastAsia="方正黑体简体" w:cs="Times New Roman"/>
          <w:sz w:val="30"/>
          <w:szCs w:val="30"/>
          <w:lang w:eastAsia="zh-CN"/>
        </w:rPr>
        <w:t>说明</w:t>
      </w:r>
    </w:p>
    <w:p>
      <w:pPr>
        <w:pStyle w:val="27"/>
        <w:spacing w:line="578" w:lineRule="exact"/>
        <w:ind w:firstLine="640" w:firstLineChars="200"/>
        <w:jc w:val="both"/>
        <w:rPr>
          <w:rFonts w:ascii="Times New Roman" w:eastAsia="方正仿宋简体" w:cs="Times New Roman"/>
          <w:color w:val="auto"/>
          <w:sz w:val="32"/>
          <w:szCs w:val="32"/>
          <w:highlight w:val="none"/>
        </w:rPr>
      </w:pPr>
      <w:r>
        <w:rPr>
          <w:rFonts w:hint="default" w:ascii="Times New Roman" w:eastAsia="方正仿宋简体" w:cs="Times New Roman"/>
          <w:color w:val="auto"/>
          <w:sz w:val="32"/>
          <w:szCs w:val="32"/>
          <w:highlight w:val="none"/>
          <w:lang w:val="en"/>
        </w:rPr>
        <w:t>福建省森林消防总队</w:t>
      </w:r>
      <w:r>
        <w:rPr>
          <w:rFonts w:hint="eastAsia" w:ascii="Times New Roman" w:eastAsia="方正仿宋简体" w:cs="Times New Roman"/>
          <w:color w:val="auto"/>
          <w:sz w:val="32"/>
          <w:szCs w:val="32"/>
          <w:highlight w:val="none"/>
          <w:lang w:eastAsia="zh-CN"/>
        </w:rPr>
        <w:t>2021年度</w:t>
      </w:r>
      <w:r>
        <w:rPr>
          <w:rFonts w:ascii="Times New Roman" w:eastAsia="方正仿宋简体" w:cs="Times New Roman"/>
          <w:color w:val="auto"/>
          <w:sz w:val="32"/>
          <w:szCs w:val="32"/>
          <w:highlight w:val="none"/>
        </w:rPr>
        <w:t>政府采购支出总额</w:t>
      </w:r>
      <w:r>
        <w:rPr>
          <w:rFonts w:hint="eastAsia" w:ascii="Times New Roman" w:eastAsia="方正仿宋简体" w:cs="Times New Roman"/>
          <w:color w:val="auto"/>
          <w:sz w:val="32"/>
          <w:szCs w:val="32"/>
          <w:highlight w:val="none"/>
          <w:lang w:val="en-US" w:eastAsia="zh-CN"/>
        </w:rPr>
        <w:t>14,248.63</w:t>
      </w:r>
      <w:r>
        <w:rPr>
          <w:rFonts w:ascii="Times New Roman" w:eastAsia="方正仿宋简体" w:cs="Times New Roman"/>
          <w:color w:val="auto"/>
          <w:sz w:val="32"/>
          <w:szCs w:val="32"/>
          <w:highlight w:val="none"/>
        </w:rPr>
        <w:t>万元，其中：</w:t>
      </w:r>
      <w:r>
        <w:rPr>
          <w:rFonts w:hint="eastAsia" w:ascii="Times New Roman" w:hAnsi="Times New Roman" w:eastAsia="方正仿宋简体" w:cs="Times New Roman"/>
          <w:bCs/>
          <w:color w:val="auto"/>
          <w:kern w:val="0"/>
          <w:sz w:val="32"/>
          <w:szCs w:val="28"/>
          <w:highlight w:val="none"/>
        </w:rPr>
        <w:t>政府采购货物支出</w:t>
      </w:r>
      <w:r>
        <w:rPr>
          <w:rFonts w:hint="eastAsia" w:ascii="Times New Roman" w:eastAsia="方正仿宋简体" w:cs="Times New Roman"/>
          <w:color w:val="auto"/>
          <w:sz w:val="32"/>
          <w:szCs w:val="32"/>
          <w:highlight w:val="none"/>
          <w:lang w:val="en-US" w:eastAsia="zh-CN"/>
        </w:rPr>
        <w:t>5,697.45</w:t>
      </w:r>
      <w:r>
        <w:rPr>
          <w:rFonts w:hint="eastAsia" w:ascii="Times New Roman" w:hAnsi="Times New Roman" w:eastAsia="方正仿宋简体" w:cs="Times New Roman"/>
          <w:bCs/>
          <w:color w:val="auto"/>
          <w:kern w:val="0"/>
          <w:sz w:val="32"/>
          <w:szCs w:val="28"/>
          <w:highlight w:val="none"/>
        </w:rPr>
        <w:t>万元、政府采购工程支出</w:t>
      </w:r>
      <w:r>
        <w:rPr>
          <w:rFonts w:hint="eastAsia" w:ascii="Times New Roman" w:eastAsia="方正仿宋简体" w:cs="Times New Roman"/>
          <w:color w:val="auto"/>
          <w:sz w:val="32"/>
          <w:szCs w:val="32"/>
          <w:highlight w:val="none"/>
          <w:lang w:val="en-US" w:eastAsia="zh-CN"/>
        </w:rPr>
        <w:t>7,443.17</w:t>
      </w:r>
      <w:r>
        <w:rPr>
          <w:rFonts w:hint="eastAsia" w:ascii="Times New Roman" w:hAnsi="Times New Roman" w:eastAsia="方正仿宋简体" w:cs="Times New Roman"/>
          <w:bCs/>
          <w:color w:val="auto"/>
          <w:kern w:val="0"/>
          <w:sz w:val="32"/>
          <w:szCs w:val="28"/>
          <w:highlight w:val="none"/>
        </w:rPr>
        <w:t>万元、政府采购服务支出</w:t>
      </w:r>
      <w:r>
        <w:rPr>
          <w:rFonts w:hint="eastAsia" w:ascii="Times New Roman" w:eastAsia="方正仿宋简体" w:cs="Times New Roman"/>
          <w:color w:val="auto"/>
          <w:sz w:val="32"/>
          <w:szCs w:val="32"/>
          <w:highlight w:val="none"/>
          <w:lang w:val="en-US" w:eastAsia="zh-CN"/>
        </w:rPr>
        <w:t>1,009.43</w:t>
      </w:r>
      <w:r>
        <w:rPr>
          <w:rFonts w:hint="eastAsia" w:ascii="Times New Roman" w:hAnsi="Times New Roman" w:eastAsia="方正仿宋简体" w:cs="Times New Roman"/>
          <w:bCs/>
          <w:color w:val="auto"/>
          <w:kern w:val="0"/>
          <w:sz w:val="32"/>
          <w:szCs w:val="28"/>
          <w:highlight w:val="none"/>
        </w:rPr>
        <w:t>万元</w:t>
      </w:r>
      <w:r>
        <w:rPr>
          <w:rFonts w:ascii="Times New Roman" w:eastAsia="方正仿宋简体" w:cs="Times New Roman"/>
          <w:color w:val="auto"/>
          <w:sz w:val="32"/>
          <w:szCs w:val="32"/>
          <w:highlight w:val="none"/>
        </w:rPr>
        <w:t>。授予中小企业合同金额</w:t>
      </w:r>
      <w:r>
        <w:rPr>
          <w:rFonts w:hint="eastAsia" w:ascii="Times New Roman" w:eastAsia="方正仿宋简体" w:cs="Times New Roman"/>
          <w:color w:val="auto"/>
          <w:sz w:val="32"/>
          <w:szCs w:val="32"/>
          <w:highlight w:val="none"/>
          <w:lang w:val="en-US" w:eastAsia="zh-CN"/>
        </w:rPr>
        <w:t>11,458.35</w:t>
      </w:r>
      <w:r>
        <w:rPr>
          <w:rFonts w:ascii="Times New Roman" w:eastAsia="方正仿宋简体" w:cs="Times New Roman"/>
          <w:color w:val="auto"/>
          <w:sz w:val="32"/>
          <w:szCs w:val="32"/>
          <w:highlight w:val="none"/>
        </w:rPr>
        <w:t>万元，占政府采购支出总额的</w:t>
      </w:r>
      <w:r>
        <w:rPr>
          <w:rFonts w:hint="eastAsia" w:ascii="Times New Roman" w:eastAsia="方正仿宋简体" w:cs="Times New Roman"/>
          <w:color w:val="auto"/>
          <w:sz w:val="32"/>
          <w:szCs w:val="32"/>
          <w:highlight w:val="none"/>
          <w:lang w:val="en-US" w:eastAsia="zh-CN"/>
        </w:rPr>
        <w:t>80.41</w:t>
      </w:r>
      <w:r>
        <w:rPr>
          <w:rFonts w:ascii="Times New Roman" w:eastAsia="方正仿宋简体" w:cs="Times New Roman"/>
          <w:color w:val="auto"/>
          <w:sz w:val="32"/>
          <w:szCs w:val="32"/>
          <w:highlight w:val="none"/>
        </w:rPr>
        <w:t>%，其中：授予小微企业合同金额</w:t>
      </w:r>
      <w:r>
        <w:rPr>
          <w:rFonts w:hint="eastAsia" w:ascii="Times New Roman" w:eastAsia="方正仿宋简体" w:cs="Times New Roman"/>
          <w:color w:val="auto"/>
          <w:sz w:val="32"/>
          <w:szCs w:val="32"/>
          <w:highlight w:val="none"/>
          <w:lang w:val="en-US" w:eastAsia="zh-CN"/>
        </w:rPr>
        <w:t>9,299.07</w:t>
      </w:r>
      <w:r>
        <w:rPr>
          <w:rFonts w:ascii="Times New Roman" w:eastAsia="方正仿宋简体" w:cs="Times New Roman"/>
          <w:color w:val="auto"/>
          <w:sz w:val="32"/>
          <w:szCs w:val="32"/>
          <w:highlight w:val="none"/>
        </w:rPr>
        <w:t>万元，</w:t>
      </w:r>
      <w:r>
        <w:rPr>
          <w:rFonts w:hint="eastAsia" w:ascii="Times New Roman" w:eastAsia="方正仿宋简体" w:cs="Times New Roman"/>
          <w:color w:val="auto"/>
          <w:sz w:val="32"/>
          <w:szCs w:val="32"/>
          <w:highlight w:val="none"/>
        </w:rPr>
        <w:t>占授予中小企业合同额的</w:t>
      </w:r>
      <w:r>
        <w:rPr>
          <w:rFonts w:hint="eastAsia" w:ascii="Times New Roman" w:eastAsia="方正仿宋简体" w:cs="Times New Roman"/>
          <w:color w:val="auto"/>
          <w:sz w:val="32"/>
          <w:szCs w:val="32"/>
          <w:highlight w:val="none"/>
          <w:lang w:val="en-US" w:eastAsia="zh-CN"/>
        </w:rPr>
        <w:t>81.16%</w:t>
      </w:r>
      <w:r>
        <w:rPr>
          <w:rFonts w:hint="eastAsia" w:ascii="Times New Roman" w:eastAsia="方正仿宋简体" w:cs="Times New Roman"/>
          <w:color w:val="auto"/>
          <w:sz w:val="32"/>
          <w:szCs w:val="32"/>
          <w:highlight w:val="none"/>
        </w:rPr>
        <w:t>；货物采购授予中小企业合同金额占货物支出金额的</w:t>
      </w:r>
      <w:r>
        <w:rPr>
          <w:rFonts w:hint="eastAsia" w:ascii="Times New Roman" w:eastAsia="方正仿宋简体" w:cs="Times New Roman"/>
          <w:color w:val="auto"/>
          <w:sz w:val="32"/>
          <w:szCs w:val="32"/>
          <w:highlight w:val="none"/>
          <w:lang w:val="en-US" w:eastAsia="zh-CN"/>
        </w:rPr>
        <w:t>79.38</w:t>
      </w:r>
      <w:r>
        <w:rPr>
          <w:rFonts w:hint="eastAsia" w:ascii="Times New Roman" w:eastAsia="方正仿宋简体" w:cs="Times New Roman"/>
          <w:color w:val="auto"/>
          <w:sz w:val="32"/>
          <w:szCs w:val="32"/>
          <w:highlight w:val="none"/>
        </w:rPr>
        <w:t>%，工程采购授予中小企业合同金额占工程支出金额</w:t>
      </w:r>
      <w:r>
        <w:rPr>
          <w:rFonts w:hint="eastAsia" w:ascii="Times New Roman" w:eastAsia="方正仿宋简体" w:cs="Times New Roman"/>
          <w:color w:val="auto"/>
          <w:sz w:val="32"/>
          <w:szCs w:val="32"/>
          <w:highlight w:val="none"/>
          <w:lang w:val="en-US" w:eastAsia="zh-CN"/>
        </w:rPr>
        <w:t>61.49</w:t>
      </w:r>
      <w:r>
        <w:rPr>
          <w:rFonts w:hint="eastAsia" w:ascii="Times New Roman" w:eastAsia="方正仿宋简体" w:cs="Times New Roman"/>
          <w:color w:val="auto"/>
          <w:sz w:val="32"/>
          <w:szCs w:val="32"/>
          <w:highlight w:val="none"/>
        </w:rPr>
        <w:t>%，服务采购授予中小企业合同金额占服务支出金额的</w:t>
      </w:r>
      <w:r>
        <w:rPr>
          <w:rFonts w:hint="eastAsia" w:ascii="Times New Roman" w:eastAsia="方正仿宋简体" w:cs="Times New Roman"/>
          <w:color w:val="auto"/>
          <w:sz w:val="32"/>
          <w:szCs w:val="32"/>
          <w:highlight w:val="none"/>
          <w:lang w:val="en-US" w:eastAsia="zh-CN"/>
        </w:rPr>
        <w:t>90.30</w:t>
      </w:r>
      <w:r>
        <w:rPr>
          <w:rFonts w:hint="eastAsia" w:ascii="Times New Roman" w:eastAsia="方正仿宋简体" w:cs="Times New Roman"/>
          <w:color w:val="auto"/>
          <w:sz w:val="32"/>
          <w:szCs w:val="32"/>
          <w:highlight w:val="none"/>
        </w:rPr>
        <w:t xml:space="preserve">%。 </w:t>
      </w:r>
    </w:p>
    <w:p>
      <w:pPr>
        <w:pStyle w:val="27"/>
        <w:spacing w:line="578" w:lineRule="exact"/>
        <w:ind w:firstLine="600" w:firstLineChars="200"/>
        <w:outlineLvl w:val="1"/>
        <w:rPr>
          <w:rFonts w:hint="eastAsia" w:ascii="方正黑体简体" w:eastAsia="方正黑体简体" w:cs="Times New Roman"/>
          <w:sz w:val="30"/>
          <w:szCs w:val="30"/>
          <w:lang w:eastAsia="zh-CN"/>
        </w:rPr>
      </w:pPr>
      <w:r>
        <w:rPr>
          <w:rFonts w:hint="eastAsia" w:ascii="方正黑体简体" w:eastAsia="方正黑体简体" w:cs="Times New Roman"/>
          <w:sz w:val="30"/>
          <w:szCs w:val="30"/>
        </w:rPr>
        <w:t>十、国有资产占用情况</w:t>
      </w:r>
      <w:r>
        <w:rPr>
          <w:rFonts w:hint="eastAsia" w:ascii="方正黑体简体" w:eastAsia="方正黑体简体" w:cs="Times New Roman"/>
          <w:sz w:val="30"/>
          <w:szCs w:val="30"/>
          <w:lang w:eastAsia="zh-CN"/>
        </w:rPr>
        <w:t>说明</w:t>
      </w:r>
    </w:p>
    <w:p>
      <w:pPr>
        <w:pStyle w:val="27"/>
        <w:spacing w:line="578" w:lineRule="exact"/>
        <w:ind w:firstLine="640" w:firstLineChars="200"/>
        <w:jc w:val="both"/>
        <w:rPr>
          <w:rFonts w:hint="eastAsia" w:ascii="Times New Roman" w:hAnsi="Times New Roman" w:eastAsia="方正仿宋简体" w:cs="Times New Roman"/>
          <w:color w:val="auto"/>
          <w:sz w:val="32"/>
          <w:szCs w:val="32"/>
          <w:highlight w:val="none"/>
        </w:rPr>
      </w:pPr>
      <w:r>
        <w:rPr>
          <w:rFonts w:hint="eastAsia" w:ascii="Times New Roman" w:hAnsi="Times New Roman" w:eastAsia="方正仿宋简体" w:cs="Times New Roman"/>
          <w:color w:val="auto"/>
          <w:sz w:val="32"/>
          <w:szCs w:val="32"/>
          <w:highlight w:val="none"/>
        </w:rPr>
        <w:t>至2021年12月31日，</w:t>
      </w:r>
      <w:r>
        <w:rPr>
          <w:rFonts w:hint="default" w:ascii="Times New Roman" w:eastAsia="方正仿宋简体" w:cs="Times New Roman"/>
          <w:color w:val="auto"/>
          <w:sz w:val="32"/>
          <w:szCs w:val="32"/>
          <w:highlight w:val="none"/>
          <w:lang w:val="en"/>
        </w:rPr>
        <w:t>福建省森林消防总队</w:t>
      </w:r>
      <w:r>
        <w:rPr>
          <w:rFonts w:hint="eastAsia" w:ascii="Times New Roman" w:hAnsi="Times New Roman" w:eastAsia="方正仿宋简体" w:cs="Times New Roman"/>
          <w:color w:val="auto"/>
          <w:sz w:val="32"/>
          <w:szCs w:val="32"/>
          <w:highlight w:val="none"/>
        </w:rPr>
        <w:t>各预算单位共有车辆</w:t>
      </w:r>
      <w:r>
        <w:rPr>
          <w:rFonts w:hint="eastAsia" w:ascii="Times New Roman" w:eastAsia="方正仿宋简体" w:cs="Times New Roman"/>
          <w:color w:val="auto"/>
          <w:sz w:val="32"/>
          <w:szCs w:val="32"/>
          <w:highlight w:val="none"/>
          <w:lang w:val="en-US" w:eastAsia="zh-CN"/>
        </w:rPr>
        <w:t>279</w:t>
      </w:r>
      <w:r>
        <w:rPr>
          <w:rFonts w:hint="eastAsia" w:ascii="Times New Roman" w:hAnsi="Times New Roman" w:eastAsia="方正仿宋简体" w:cs="Times New Roman"/>
          <w:color w:val="auto"/>
          <w:sz w:val="32"/>
          <w:szCs w:val="32"/>
          <w:highlight w:val="none"/>
        </w:rPr>
        <w:t>辆，其中：应急保障用车</w:t>
      </w:r>
      <w:r>
        <w:rPr>
          <w:rFonts w:hint="eastAsia" w:ascii="Times New Roman" w:eastAsia="方正仿宋简体" w:cs="Times New Roman"/>
          <w:color w:val="auto"/>
          <w:sz w:val="32"/>
          <w:szCs w:val="32"/>
          <w:highlight w:val="none"/>
          <w:lang w:val="en-US" w:eastAsia="zh-CN"/>
        </w:rPr>
        <w:t>276</w:t>
      </w:r>
      <w:r>
        <w:rPr>
          <w:rFonts w:hint="eastAsia" w:ascii="Times New Roman" w:hAnsi="Times New Roman" w:eastAsia="方正仿宋简体" w:cs="Times New Roman"/>
          <w:color w:val="auto"/>
          <w:sz w:val="32"/>
          <w:szCs w:val="32"/>
          <w:highlight w:val="none"/>
        </w:rPr>
        <w:t>辆、其他用车</w:t>
      </w:r>
      <w:r>
        <w:rPr>
          <w:rFonts w:hint="eastAsia" w:ascii="Times New Roman" w:eastAsia="方正仿宋简体" w:cs="Times New Roman"/>
          <w:color w:val="auto"/>
          <w:sz w:val="32"/>
          <w:szCs w:val="32"/>
          <w:highlight w:val="none"/>
          <w:lang w:val="en-US" w:eastAsia="zh-CN"/>
        </w:rPr>
        <w:t>3</w:t>
      </w:r>
      <w:r>
        <w:rPr>
          <w:rFonts w:hint="eastAsia" w:ascii="Times New Roman" w:hAnsi="Times New Roman" w:eastAsia="方正仿宋简体" w:cs="Times New Roman"/>
          <w:color w:val="auto"/>
          <w:sz w:val="32"/>
          <w:szCs w:val="32"/>
          <w:highlight w:val="none"/>
        </w:rPr>
        <w:t>辆，其他用车主要是各类消防救援车辆；单价50万以上的通用设备</w:t>
      </w:r>
      <w:r>
        <w:rPr>
          <w:rFonts w:hint="eastAsia" w:ascii="Times New Roman" w:eastAsia="方正仿宋简体" w:cs="Times New Roman"/>
          <w:color w:val="auto"/>
          <w:sz w:val="32"/>
          <w:szCs w:val="32"/>
          <w:highlight w:val="none"/>
          <w:lang w:val="en-US" w:eastAsia="zh-CN"/>
        </w:rPr>
        <w:t>16</w:t>
      </w:r>
      <w:r>
        <w:rPr>
          <w:rFonts w:hint="eastAsia" w:ascii="Times New Roman" w:hAnsi="Times New Roman" w:eastAsia="方正仿宋简体" w:cs="Times New Roman"/>
          <w:color w:val="auto"/>
          <w:sz w:val="32"/>
          <w:szCs w:val="32"/>
          <w:highlight w:val="none"/>
        </w:rPr>
        <w:t>台（套），单价100万以上的专用设备</w:t>
      </w:r>
      <w:r>
        <w:rPr>
          <w:rFonts w:hint="eastAsia" w:ascii="Times New Roman" w:eastAsia="方正仿宋简体" w:cs="Times New Roman"/>
          <w:color w:val="auto"/>
          <w:sz w:val="32"/>
          <w:szCs w:val="32"/>
          <w:highlight w:val="none"/>
          <w:lang w:val="en-US" w:eastAsia="zh-CN"/>
        </w:rPr>
        <w:t>6</w:t>
      </w:r>
      <w:r>
        <w:rPr>
          <w:rFonts w:hint="eastAsia" w:ascii="Times New Roman" w:hAnsi="Times New Roman" w:eastAsia="方正仿宋简体" w:cs="Times New Roman"/>
          <w:color w:val="auto"/>
          <w:sz w:val="32"/>
          <w:szCs w:val="32"/>
          <w:highlight w:val="none"/>
        </w:rPr>
        <w:t>台（套）。</w:t>
      </w:r>
    </w:p>
    <w:p>
      <w:pPr>
        <w:autoSpaceDE w:val="0"/>
        <w:autoSpaceDN w:val="0"/>
        <w:adjustRightInd w:val="0"/>
        <w:spacing w:line="578" w:lineRule="exact"/>
        <w:ind w:firstLine="800" w:firstLineChars="250"/>
        <w:jc w:val="left"/>
        <w:outlineLvl w:val="1"/>
        <w:rPr>
          <w:rFonts w:ascii="方正黑体简体" w:hAnsi="黑体" w:eastAsia="方正黑体简体" w:cs="黑体"/>
          <w:color w:val="000000"/>
          <w:kern w:val="0"/>
          <w:sz w:val="32"/>
          <w:szCs w:val="32"/>
        </w:rPr>
      </w:pPr>
      <w:r>
        <w:rPr>
          <w:rFonts w:hint="eastAsia" w:ascii="方正黑体简体" w:hAnsi="黑体" w:eastAsia="方正黑体简体" w:cs="黑体"/>
          <w:color w:val="000000"/>
          <w:kern w:val="0"/>
          <w:sz w:val="32"/>
          <w:szCs w:val="32"/>
        </w:rPr>
        <w:t>十一、预算绩效情况说明</w:t>
      </w:r>
    </w:p>
    <w:p>
      <w:pPr>
        <w:autoSpaceDE w:val="0"/>
        <w:autoSpaceDN w:val="0"/>
        <w:adjustRightInd w:val="0"/>
        <w:spacing w:line="578" w:lineRule="exact"/>
        <w:ind w:firstLine="640" w:firstLineChars="200"/>
        <w:jc w:val="left"/>
        <w:rPr>
          <w:rFonts w:ascii="方正楷体简体" w:hAnsi="楷体_GB2312" w:eastAsia="方正楷体简体" w:cs="楷体_GB2312"/>
          <w:color w:val="000000"/>
          <w:kern w:val="0"/>
          <w:sz w:val="32"/>
          <w:szCs w:val="32"/>
        </w:rPr>
      </w:pPr>
      <w:r>
        <w:rPr>
          <w:rFonts w:hint="eastAsia" w:ascii="方正楷体简体" w:hAnsi="楷体_GB2312" w:eastAsia="方正楷体简体" w:cs="楷体_GB2312"/>
          <w:color w:val="000000"/>
          <w:kern w:val="0"/>
          <w:sz w:val="32"/>
          <w:szCs w:val="32"/>
        </w:rPr>
        <w:t>（一）预算绩效管理工作开展情况。</w:t>
      </w:r>
    </w:p>
    <w:p>
      <w:pPr>
        <w:spacing w:line="560" w:lineRule="exact"/>
        <w:ind w:firstLine="640" w:firstLineChars="200"/>
        <w:rPr>
          <w:rFonts w:hint="eastAsia" w:ascii="Times New Roman" w:hAnsi="Times New Roman" w:eastAsia="方正仿宋简体" w:cs="Times New Roman"/>
          <w:color w:val="auto"/>
          <w:kern w:val="0"/>
          <w:sz w:val="32"/>
          <w:szCs w:val="32"/>
          <w:highlight w:val="none"/>
          <w:lang w:val="en-US" w:eastAsia="zh-CN" w:bidi="ar-SA"/>
        </w:rPr>
      </w:pPr>
      <w:r>
        <w:rPr>
          <w:rFonts w:hint="eastAsia" w:ascii="Times New Roman" w:hAnsi="Times New Roman" w:eastAsia="方正仿宋简体" w:cs="Times New Roman"/>
          <w:color w:val="auto"/>
          <w:kern w:val="0"/>
          <w:sz w:val="32"/>
          <w:szCs w:val="32"/>
          <w:highlight w:val="none"/>
          <w:lang w:val="en-US" w:eastAsia="zh-CN" w:bidi="ar-SA"/>
        </w:rPr>
        <w:t>根据森林消防局通知要求，结合总队2021年绩效评价工作实际，采取单位自评与第三方机构评价相结合的形式开展，为有效监督项目实施的效率性、经济性、时效性、可持续性，使有限的资金发挥出应有的作用。遵循“科学性、规范性、客观性和公正性”的原则，设立一、二、三级指标，年度指标及实际完成值的指标体系，采取公众评判法，对照绩效指标及评分标准逐条开展自评。通过对70个项目各项费用的发生情况进行核对、统计和汇总，进行评价、评审、打分。并按照森林消防局要求委托会计师事务所对总队4个项目自评情况进行全程监督评判。</w:t>
      </w:r>
    </w:p>
    <w:p>
      <w:pPr>
        <w:spacing w:line="578" w:lineRule="exact"/>
        <w:ind w:firstLine="640" w:firstLineChars="200"/>
        <w:rPr>
          <w:rFonts w:ascii="方正楷体简体" w:hAnsi="仿宋_GB2312" w:eastAsia="方正楷体简体" w:cs="仿宋_GB2312"/>
          <w:color w:val="000000"/>
          <w:kern w:val="0"/>
          <w:sz w:val="32"/>
          <w:szCs w:val="32"/>
        </w:rPr>
      </w:pPr>
      <w:r>
        <w:rPr>
          <w:rFonts w:hint="eastAsia" w:ascii="方正楷体简体" w:hAnsi="仿宋_GB2312" w:eastAsia="方正楷体简体" w:cs="仿宋_GB2312"/>
          <w:color w:val="000000"/>
          <w:kern w:val="0"/>
          <w:sz w:val="32"/>
          <w:szCs w:val="32"/>
        </w:rPr>
        <w:t>（二）部门决算中项目绩效自评结果。</w:t>
      </w:r>
    </w:p>
    <w:p>
      <w:pPr>
        <w:spacing w:line="578" w:lineRule="exact"/>
        <w:ind w:firstLine="640" w:firstLineChars="200"/>
        <w:rPr>
          <w:rFonts w:hint="default" w:eastAsia="方正仿宋简体"/>
          <w:sz w:val="32"/>
          <w:szCs w:val="32"/>
          <w:lang w:val="en"/>
        </w:rPr>
      </w:pPr>
      <w:r>
        <w:rPr>
          <w:rFonts w:hint="default" w:eastAsia="方正仿宋简体"/>
          <w:sz w:val="32"/>
          <w:szCs w:val="32"/>
          <w:lang w:val="en"/>
        </w:rPr>
        <w:t>根据相关规定和通知要求，我总队项目支出绩效自评工作，共自评70个二级项目，涉及金额34,561.40万元，二级项目自评实现了全覆盖。具体情况是：</w:t>
      </w:r>
    </w:p>
    <w:p>
      <w:pPr>
        <w:spacing w:line="578" w:lineRule="exact"/>
        <w:ind w:firstLine="640" w:firstLineChars="200"/>
        <w:rPr>
          <w:rFonts w:hint="default" w:eastAsia="方正仿宋简体"/>
          <w:sz w:val="32"/>
          <w:szCs w:val="32"/>
          <w:lang w:val="en"/>
        </w:rPr>
      </w:pPr>
      <w:r>
        <w:rPr>
          <w:rFonts w:hint="eastAsia" w:eastAsia="方正仿宋简体"/>
          <w:sz w:val="32"/>
          <w:szCs w:val="32"/>
          <w:lang w:val="en-US" w:eastAsia="zh-CN"/>
        </w:rPr>
        <w:t>1.</w:t>
      </w:r>
      <w:r>
        <w:rPr>
          <w:rFonts w:hint="default" w:eastAsia="方正仿宋简体"/>
          <w:sz w:val="32"/>
          <w:szCs w:val="32"/>
          <w:lang w:val="en"/>
        </w:rPr>
        <w:t>信息化建设费。该类项目主要围绕职责任务，落实信息化发展战略规划框架顶层设计，完成“立体感知重点覆盖、网系灵活手段互补、数据标准资源完备、系统开放平台稳定、运维智能防护先进、标准统一制度规范、工作机制科学高效、人才丰富技术领先”的建设目标，组织两级指挥中心改造、总队本级智慧营区建设、龙岩支队电视会议室改造、特勤大队值班室改造。该项目部门自评95.10分，绩效管理存在的主要问题是预算目标不够明确，制定装备、信息化建设各类标准、方案、规划需要一定的周期，队伍装备、信息化建设缺少了有关单位的技术支撑，项目执行前参数论证等工作周期较长，两级指挥中心施工周期较长，尚未完全完成结算。</w:t>
      </w:r>
    </w:p>
    <w:p>
      <w:pPr>
        <w:spacing w:line="578" w:lineRule="exact"/>
        <w:ind w:firstLine="640" w:firstLineChars="200"/>
        <w:rPr>
          <w:rFonts w:hint="default" w:eastAsia="方正仿宋简体"/>
          <w:sz w:val="32"/>
          <w:szCs w:val="32"/>
          <w:lang w:val="en"/>
        </w:rPr>
      </w:pPr>
      <w:r>
        <w:rPr>
          <w:rFonts w:hint="eastAsia" w:eastAsia="方正仿宋简体"/>
          <w:sz w:val="32"/>
          <w:szCs w:val="32"/>
          <w:lang w:val="en-US" w:eastAsia="zh-CN"/>
        </w:rPr>
        <w:t>2.</w:t>
      </w:r>
      <w:r>
        <w:rPr>
          <w:rFonts w:hint="default" w:eastAsia="方正仿宋简体"/>
          <w:sz w:val="32"/>
          <w:szCs w:val="32"/>
          <w:lang w:val="en"/>
        </w:rPr>
        <w:t>信息化运行维护费。该项目主要用于保证网络互联互通，数据共享共融，稳步提升队伍战斗力和遂行任务能力。年度计划租机租线、装备维护均已完成。部门自评94.40分。</w:t>
      </w:r>
    </w:p>
    <w:p>
      <w:pPr>
        <w:spacing w:line="578" w:lineRule="exact"/>
        <w:ind w:firstLine="640" w:firstLineChars="200"/>
        <w:rPr>
          <w:rFonts w:hint="default" w:eastAsia="方正仿宋简体"/>
          <w:sz w:val="32"/>
          <w:szCs w:val="32"/>
          <w:lang w:val="en"/>
        </w:rPr>
      </w:pPr>
      <w:r>
        <w:rPr>
          <w:rFonts w:hint="eastAsia" w:eastAsia="方正仿宋简体"/>
          <w:sz w:val="32"/>
          <w:szCs w:val="32"/>
          <w:lang w:val="en-US" w:eastAsia="zh-CN"/>
        </w:rPr>
        <w:t>3.</w:t>
      </w:r>
      <w:r>
        <w:rPr>
          <w:rFonts w:hint="default" w:eastAsia="方正仿宋简体"/>
          <w:sz w:val="32"/>
          <w:szCs w:val="32"/>
          <w:lang w:val="en"/>
        </w:rPr>
        <w:t>资产运行维护费。该项目主要用于防火灭火装备、抢险救援装备、办公设备、宣传文化装备、后勤装备及其他装备的维修和管理，确保装备完好率。绩效管理存在的主要问题是因对后勤装备、文化装备的检查检测力度不够，维修维护不够经常。部门自评97.36分。</w:t>
      </w:r>
    </w:p>
    <w:p>
      <w:pPr>
        <w:spacing w:line="578" w:lineRule="exact"/>
        <w:ind w:firstLine="640" w:firstLineChars="200"/>
        <w:rPr>
          <w:rFonts w:hint="default" w:eastAsia="方正仿宋简体"/>
          <w:sz w:val="32"/>
          <w:szCs w:val="32"/>
          <w:lang w:val="en"/>
        </w:rPr>
      </w:pPr>
      <w:r>
        <w:rPr>
          <w:rFonts w:hint="eastAsia" w:eastAsia="方正仿宋简体"/>
          <w:sz w:val="32"/>
          <w:szCs w:val="32"/>
          <w:lang w:val="en-US" w:eastAsia="zh-CN"/>
        </w:rPr>
        <w:t>4.</w:t>
      </w:r>
      <w:r>
        <w:rPr>
          <w:rFonts w:hint="default" w:eastAsia="方正仿宋简体"/>
          <w:sz w:val="32"/>
          <w:szCs w:val="32"/>
          <w:lang w:val="en"/>
        </w:rPr>
        <w:t>装备购置费。该项目主要用于队伍新购装备、设施、设备，包括消防救援装备购置、文化装备购置、后勤装备购置。部门自评99.58分，绩效管理存在问题主要是年初预算不够准确，项目执行过程中存在经费内容调剂使用的现象。</w:t>
      </w:r>
    </w:p>
    <w:p>
      <w:pPr>
        <w:spacing w:line="578" w:lineRule="exact"/>
        <w:ind w:firstLine="640" w:firstLineChars="200"/>
        <w:rPr>
          <w:rFonts w:hint="default" w:eastAsia="方正仿宋简体"/>
          <w:sz w:val="32"/>
          <w:szCs w:val="32"/>
          <w:lang w:val="en"/>
        </w:rPr>
      </w:pPr>
      <w:r>
        <w:rPr>
          <w:rFonts w:hint="eastAsia" w:eastAsia="方正仿宋简体"/>
          <w:sz w:val="32"/>
          <w:szCs w:val="32"/>
          <w:lang w:val="en-US" w:eastAsia="zh-CN"/>
        </w:rPr>
        <w:t>5.</w:t>
      </w:r>
      <w:r>
        <w:rPr>
          <w:rFonts w:hint="default" w:eastAsia="方正仿宋简体"/>
          <w:sz w:val="32"/>
          <w:szCs w:val="32"/>
          <w:lang w:val="en"/>
        </w:rPr>
        <w:t>服装护具及伙食补助费。该项目主要用于保障森林消防员日常伙食支出，给消防员退发在家单独起伙、探亲休假期间的伙食费，每年通过伙食标准和人员实力进行具体测算。部门自评97.67分，绩效管理存在问题主要是人员编制不足，经费存在结余。</w:t>
      </w:r>
    </w:p>
    <w:p>
      <w:pPr>
        <w:spacing w:line="578" w:lineRule="exact"/>
        <w:ind w:firstLine="640" w:firstLineChars="200"/>
        <w:rPr>
          <w:rFonts w:hint="default" w:eastAsia="方正仿宋简体"/>
          <w:sz w:val="32"/>
          <w:szCs w:val="32"/>
          <w:lang w:val="en"/>
        </w:rPr>
      </w:pPr>
      <w:r>
        <w:rPr>
          <w:rFonts w:hint="eastAsia" w:eastAsia="方正仿宋简体"/>
          <w:sz w:val="32"/>
          <w:szCs w:val="32"/>
          <w:lang w:val="en-US" w:eastAsia="zh-CN"/>
        </w:rPr>
        <w:t>6.</w:t>
      </w:r>
      <w:r>
        <w:rPr>
          <w:rFonts w:hint="default" w:eastAsia="方正仿宋简体"/>
          <w:sz w:val="32"/>
          <w:szCs w:val="32"/>
          <w:lang w:val="en"/>
        </w:rPr>
        <w:t>综合性消防救援专项。该项目主要包括森林消防专项业务费、油料费、集体转业费。项目经费主要用于保障队伍森林消防专项费用支出，油料费项目主要保障森林消防队伍车辆、机具、生活等油料购置，森林消防专项业务费项目主要用于保障森林队伍遂行以防火灭火为中心的综合救援任务需要，保障经常性训练支出、日常灭火训练演练物资消耗、灭火战备物资补充，以及防火执勤相关支出。部门自评84.49分，绩效管理存在问题主要是森林消防专项业务费支出较零散，不利于绩效管理，集体退役费保险政策尚未出台，预算金额过大，预算执行率过低。</w:t>
      </w:r>
    </w:p>
    <w:p>
      <w:pPr>
        <w:spacing w:line="578" w:lineRule="exact"/>
        <w:ind w:firstLine="640" w:firstLineChars="200"/>
        <w:rPr>
          <w:rFonts w:eastAsia="方正仿宋简体"/>
          <w:sz w:val="32"/>
          <w:szCs w:val="32"/>
        </w:rPr>
      </w:pPr>
      <w:r>
        <w:rPr>
          <w:rFonts w:hint="eastAsia" w:eastAsia="方正仿宋简体"/>
          <w:sz w:val="32"/>
          <w:szCs w:val="32"/>
          <w:lang w:val="en-US" w:eastAsia="zh-CN"/>
        </w:rPr>
        <w:t>7.</w:t>
      </w:r>
      <w:r>
        <w:rPr>
          <w:rFonts w:hint="default" w:eastAsia="方正仿宋简体"/>
          <w:sz w:val="32"/>
          <w:szCs w:val="32"/>
          <w:lang w:val="en"/>
        </w:rPr>
        <w:t>基础设施建设。该项目包括总队本级及所属支队29个基础设施建设项目，保证了指战员训练、生活环境，提升了训练质效，营造了拴心留人的环境。部门自评89.34分，绩效管理存在问题主要是部分项目立项后未执行，部分项目执行期间与预算有部分分项调整，导致整体预算执行率过低或执行有调整，影响绩效管理。</w:t>
      </w:r>
    </w:p>
    <w:p>
      <w:pPr>
        <w:spacing w:line="578" w:lineRule="exact"/>
        <w:ind w:firstLine="655" w:firstLineChars="182"/>
        <w:rPr>
          <w:rFonts w:ascii="方正黑体简体" w:hAnsi="宋体" w:eastAsia="方正黑体简体" w:cs="黑体"/>
          <w:sz w:val="36"/>
          <w:szCs w:val="30"/>
          <w:lang w:bidi="ar"/>
        </w:rPr>
      </w:pPr>
    </w:p>
    <w:p>
      <w:pPr>
        <w:pStyle w:val="2"/>
        <w:rPr>
          <w:rFonts w:ascii="方正黑体简体" w:hAnsi="宋体" w:eastAsia="方正黑体简体" w:cs="黑体"/>
          <w:sz w:val="36"/>
          <w:szCs w:val="30"/>
          <w:lang w:bidi="ar"/>
        </w:rPr>
      </w:pPr>
    </w:p>
    <w:p>
      <w:pPr>
        <w:pStyle w:val="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pStyle w:val="2"/>
        <w:rPr>
          <w:rFonts w:ascii="方正黑体简体" w:hAnsi="宋体" w:eastAsia="方正黑体简体" w:cs="黑体"/>
          <w:sz w:val="36"/>
          <w:szCs w:val="30"/>
          <w:lang w:bidi="ar"/>
        </w:rPr>
      </w:pPr>
    </w:p>
    <w:p>
      <w:pPr>
        <w:pStyle w:val="2"/>
        <w:rPr>
          <w:rFonts w:ascii="方正黑体简体" w:hAnsi="宋体" w:eastAsia="方正黑体简体" w:cs="黑体"/>
          <w:sz w:val="36"/>
          <w:szCs w:val="30"/>
          <w:lang w:bidi="ar"/>
        </w:rPr>
      </w:pPr>
    </w:p>
    <w:p>
      <w:pPr>
        <w:pStyle w:val="2"/>
        <w:rPr>
          <w:rFonts w:ascii="方正黑体简体" w:hAnsi="宋体" w:eastAsia="方正黑体简体" w:cs="黑体"/>
          <w:sz w:val="36"/>
          <w:szCs w:val="30"/>
          <w:lang w:bidi="ar"/>
        </w:rPr>
      </w:pPr>
    </w:p>
    <w:p>
      <w:pPr>
        <w:pStyle w:val="2"/>
        <w:rPr>
          <w:rFonts w:ascii="方正黑体简体" w:hAnsi="宋体" w:eastAsia="方正黑体简体" w:cs="黑体"/>
          <w:sz w:val="36"/>
          <w:szCs w:val="30"/>
          <w:lang w:bidi="ar"/>
        </w:rPr>
      </w:pPr>
    </w:p>
    <w:p>
      <w:pPr>
        <w:spacing w:line="578" w:lineRule="exact"/>
        <w:ind w:firstLine="800" w:firstLineChars="182"/>
        <w:rPr>
          <w:rFonts w:ascii="方正黑体简体" w:hAnsi="宋体" w:eastAsia="方正黑体简体" w:cs="黑体"/>
          <w:sz w:val="36"/>
          <w:szCs w:val="30"/>
          <w:lang w:bidi="ar"/>
        </w:rPr>
      </w:pPr>
      <w:r>
        <w:rPr>
          <w:rFonts w:hint="eastAsia" w:eastAsia="黑体"/>
          <w:sz w:val="44"/>
          <w:szCs w:val="44"/>
        </w:rPr>
        <mc:AlternateContent>
          <mc:Choice Requires="wps">
            <w:drawing>
              <wp:anchor distT="0" distB="0" distL="114300" distR="114300" simplePos="0" relativeHeight="251678720" behindDoc="0" locked="0" layoutInCell="1" allowOverlap="1">
                <wp:simplePos x="0" y="0"/>
                <wp:positionH relativeFrom="column">
                  <wp:posOffset>-1150620</wp:posOffset>
                </wp:positionH>
                <wp:positionV relativeFrom="paragraph">
                  <wp:posOffset>13970</wp:posOffset>
                </wp:positionV>
                <wp:extent cx="7761605" cy="1958340"/>
                <wp:effectExtent l="4445" t="4445" r="6350" b="18415"/>
                <wp:wrapNone/>
                <wp:docPr id="4" name="文本框 4"/>
                <wp:cNvGraphicFramePr/>
                <a:graphic xmlns:a="http://schemas.openxmlformats.org/drawingml/2006/main">
                  <a:graphicData uri="http://schemas.microsoft.com/office/word/2010/wordprocessingShape">
                    <wps:wsp>
                      <wps:cNvSpPr txBox="true"/>
                      <wps:spPr>
                        <a:xfrm>
                          <a:off x="0" y="0"/>
                          <a:ext cx="7761514" cy="1958340"/>
                        </a:xfrm>
                        <a:prstGeom prst="rect">
                          <a:avLst/>
                        </a:prstGeom>
                        <a:solidFill>
                          <a:srgbClr val="92D050">
                            <a:alpha val="88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1040" w:firstLineChars="200"/>
                              <w:rPr>
                                <w:rFonts w:ascii="方正黑体简体" w:eastAsia="方正黑体简体"/>
                                <w:sz w:val="52"/>
                              </w:rPr>
                            </w:pPr>
                            <w:r>
                              <w:rPr>
                                <w:rFonts w:hint="eastAsia" w:ascii="方正黑体简体" w:eastAsia="方正黑体简体"/>
                                <w:sz w:val="52"/>
                              </w:rPr>
                              <w:t>第四部分</w:t>
                            </w:r>
                          </w:p>
                          <w:p>
                            <w:pPr>
                              <w:ind w:firstLine="4320" w:firstLineChars="600"/>
                              <w:rPr>
                                <w:rFonts w:ascii="方正黑体简体" w:eastAsia="方正黑体简体"/>
                                <w:sz w:val="72"/>
                              </w:rPr>
                            </w:pPr>
                            <w:r>
                              <w:rPr>
                                <w:rFonts w:hint="eastAsia" w:ascii="方正黑体简体" w:eastAsia="方正黑体简体"/>
                                <w:sz w:val="72"/>
                              </w:rPr>
                              <w:t>名词解释</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0.6pt;margin-top:1.1pt;height:154.2pt;width:611.15pt;z-index:251678720;mso-width-relative:page;mso-height-relative:page;" fillcolor="#92D050" filled="t" stroked="t" coordsize="21600,21600" o:gfxdata="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F2CIw3YAAAACwEAAA8AAAAAAAAAAQAgAAAAOAAAAGRycy9k&#10;b3ducmV2LnhtbFBLAQIUABQAAAAIAIdO4kCC0Fd2XgIAAKsEAAAOAAAAAAAAAAEAIAAAAD0BAABk&#10;cnMvZTJvRG9jLnhtbFBLBQYAAAAABgAGAFkBAAANBgAAAAA=&#10;">
                <v:fill on="t" opacity="57671f" focussize="0,0"/>
                <v:stroke weight="0.5pt" color="#000000 [3204]" joinstyle="round"/>
                <v:imagedata o:title=""/>
                <o:lock v:ext="edit" aspectratio="f"/>
                <v:textbox>
                  <w:txbxContent>
                    <w:p>
                      <w:pPr>
                        <w:ind w:firstLine="1040" w:firstLineChars="200"/>
                        <w:rPr>
                          <w:rFonts w:ascii="方正黑体简体" w:eastAsia="方正黑体简体"/>
                          <w:sz w:val="52"/>
                        </w:rPr>
                      </w:pPr>
                      <w:r>
                        <w:rPr>
                          <w:rFonts w:hint="eastAsia" w:ascii="方正黑体简体" w:eastAsia="方正黑体简体"/>
                          <w:sz w:val="52"/>
                        </w:rPr>
                        <w:t>第四部分</w:t>
                      </w:r>
                    </w:p>
                    <w:p>
                      <w:pPr>
                        <w:ind w:firstLine="4320" w:firstLineChars="600"/>
                        <w:rPr>
                          <w:rFonts w:ascii="方正黑体简体" w:eastAsia="方正黑体简体"/>
                          <w:sz w:val="72"/>
                        </w:rPr>
                      </w:pPr>
                      <w:r>
                        <w:rPr>
                          <w:rFonts w:hint="eastAsia" w:ascii="方正黑体简体" w:eastAsia="方正黑体简体"/>
                          <w:sz w:val="72"/>
                        </w:rPr>
                        <w:t>名词解释</w:t>
                      </w:r>
                    </w:p>
                  </w:txbxContent>
                </v:textbox>
              </v:shape>
            </w:pict>
          </mc:Fallback>
        </mc:AlternateContent>
      </w: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55" w:firstLineChars="182"/>
        <w:rPr>
          <w:rFonts w:ascii="方正黑体简体" w:hAnsi="宋体" w:eastAsia="方正黑体简体" w:cs="黑体"/>
          <w:sz w:val="36"/>
          <w:szCs w:val="30"/>
          <w:lang w:bidi="ar"/>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color w:val="FF0000"/>
          <w:sz w:val="22"/>
        </w:rPr>
      </w:pPr>
      <w:r>
        <w:rPr>
          <w:rFonts w:eastAsia="方正黑体简体"/>
          <w:bCs/>
          <w:sz w:val="40"/>
          <w:szCs w:val="32"/>
        </w:rPr>
        <mc:AlternateContent>
          <mc:Choice Requires="wps">
            <w:drawing>
              <wp:anchor distT="0" distB="0" distL="114300" distR="114300" simplePos="0" relativeHeight="251694080" behindDoc="0" locked="0" layoutInCell="1" allowOverlap="1">
                <wp:simplePos x="0" y="0"/>
                <wp:positionH relativeFrom="column">
                  <wp:posOffset>4625340</wp:posOffset>
                </wp:positionH>
                <wp:positionV relativeFrom="paragraph">
                  <wp:posOffset>135255</wp:posOffset>
                </wp:positionV>
                <wp:extent cx="163195" cy="173990"/>
                <wp:effectExtent l="19050" t="0" r="27305" b="16510"/>
                <wp:wrapNone/>
                <wp:docPr id="15" name="燕尾形 15"/>
                <wp:cNvGraphicFramePr/>
                <a:graphic xmlns:a="http://schemas.openxmlformats.org/drawingml/2006/main">
                  <a:graphicData uri="http://schemas.microsoft.com/office/word/2010/wordprocessingShape">
                    <wps:wsp>
                      <wps:cNvSpPr/>
                      <wps:spPr>
                        <a:xfrm>
                          <a:off x="0" y="0"/>
                          <a:ext cx="163195" cy="173990"/>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55" type="#_x0000_t55" style="position:absolute;left:0pt;margin-left:364.2pt;margin-top:10.65pt;height:13.7pt;width:12.85pt;z-index:251694080;v-text-anchor:middle;mso-width-relative:page;mso-height-relative:page;" fillcolor="#000000 [3213]" filled="t" stroked="t" coordsize="21600,21600" o:gfxdata="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u8XladcAAAAJAQAADwAAAAAAAAABACAAAAA4AAAAZHJzL2Rvd25yZXYueG1s&#10;UEsBAhQAFAAAAAgAh07iQHoE9GxVAgAApQQAAA4AAAAAAAAAAQAgAAAAPAEAAGRycy9lMm9Eb2Mu&#10;eG1sUEsFBgAAAAAGAAYAWQEAAAMGAAAAAA==&#10;" adj="10800">
                <v:fill on="t" focussize="0,0"/>
                <v:stroke weight="2pt" color="#000000 [3213]" joinstyle="round"/>
                <v:imagedata o:title=""/>
                <o:lock v:ext="edit" aspectratio="f"/>
              </v:shape>
            </w:pict>
          </mc:Fallback>
        </mc:AlternateContent>
      </w:r>
      <w:r>
        <w:rPr>
          <w:rStyle w:val="19"/>
          <w:rFonts w:eastAsia="方正黑体简体"/>
          <w:bCs/>
          <w:color w:val="auto"/>
          <w:sz w:val="40"/>
          <w:szCs w:val="32"/>
          <w:u w:val="none"/>
          <w:lang w:val="en"/>
        </w:rPr>
        <w:t>福建省森林消防总队</w:t>
      </w:r>
      <w:r>
        <w:rPr>
          <w:rStyle w:val="19"/>
          <w:rFonts w:hint="eastAsia" w:eastAsia="方正黑体简体"/>
          <w:bCs/>
          <w:color w:val="auto"/>
          <w:sz w:val="40"/>
          <w:szCs w:val="32"/>
          <w:u w:val="none"/>
        </w:rPr>
        <w:t>202</w:t>
      </w:r>
      <w:r>
        <w:rPr>
          <w:rStyle w:val="19"/>
          <w:rFonts w:hint="eastAsia" w:eastAsia="方正黑体简体"/>
          <w:bCs/>
          <w:color w:val="auto"/>
          <w:sz w:val="40"/>
          <w:szCs w:val="32"/>
          <w:u w:val="none"/>
          <w:lang w:val="en-US" w:eastAsia="zh-CN"/>
        </w:rPr>
        <w:t>1</w:t>
      </w:r>
      <w:r>
        <w:rPr>
          <w:rStyle w:val="19"/>
          <w:rFonts w:hint="eastAsia" w:eastAsia="方正黑体简体"/>
          <w:bCs/>
          <w:color w:val="auto"/>
          <w:sz w:val="40"/>
          <w:szCs w:val="32"/>
          <w:u w:val="none"/>
        </w:rPr>
        <w:t>年度部门决算</w:t>
      </w:r>
      <w:r>
        <w:rPr>
          <w:rStyle w:val="19"/>
          <w:rFonts w:eastAsia="方正黑体简体"/>
          <w:bCs/>
          <w:color w:val="auto"/>
          <w:sz w:val="40"/>
          <w:szCs w:val="32"/>
          <w:u w:val="none"/>
        </w:rPr>
        <w:t xml:space="preserve">   </w:t>
      </w:r>
      <w:r>
        <w:rPr>
          <w:sz w:val="22"/>
        </w:rPr>
        <w:drawing>
          <wp:anchor distT="0" distB="0" distL="114300" distR="114300" simplePos="0" relativeHeight="251693056" behindDoc="0" locked="0" layoutInCell="1" allowOverlap="1">
            <wp:simplePos x="0" y="0"/>
            <wp:positionH relativeFrom="column">
              <wp:posOffset>7548245</wp:posOffset>
            </wp:positionH>
            <wp:positionV relativeFrom="paragraph">
              <wp:posOffset>-1604645</wp:posOffset>
            </wp:positionV>
            <wp:extent cx="5177790" cy="8827770"/>
            <wp:effectExtent l="0" t="0" r="3810" b="0"/>
            <wp:wrapNone/>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5177790" cy="8827770"/>
                    </a:xfrm>
                    <a:prstGeom prst="rect">
                      <a:avLst/>
                    </a:prstGeom>
                    <a:noFill/>
                    <a:ln>
                      <a:noFill/>
                    </a:ln>
                  </pic:spPr>
                </pic:pic>
              </a:graphicData>
            </a:graphic>
          </wp:anchor>
        </w:drawing>
      </w:r>
      <w:r>
        <w:rPr>
          <w:rStyle w:val="19"/>
          <w:rFonts w:eastAsia="方正黑体简体"/>
          <w:bCs/>
          <w:color w:val="auto"/>
          <w:sz w:val="40"/>
          <w:szCs w:val="32"/>
          <w:u w:val="none"/>
        </w:rPr>
        <w:t>名词解释</w:t>
      </w:r>
    </w:p>
    <w:p>
      <w:pPr>
        <w:spacing w:line="578" w:lineRule="exact"/>
        <w:ind w:firstLine="655" w:firstLineChars="182"/>
        <w:rPr>
          <w:rFonts w:ascii="方正黑体简体" w:hAnsi="宋体" w:eastAsia="方正黑体简体" w:cs="黑体"/>
          <w:sz w:val="36"/>
          <w:szCs w:val="30"/>
          <w:lang w:bidi="ar"/>
        </w:rPr>
      </w:pPr>
    </w:p>
    <w:p>
      <w:pPr>
        <w:spacing w:line="578" w:lineRule="exact"/>
        <w:ind w:firstLine="642" w:firstLineChars="200"/>
        <w:rPr>
          <w:rFonts w:eastAsia="方正仿宋简体"/>
          <w:sz w:val="32"/>
          <w:szCs w:val="30"/>
        </w:rPr>
      </w:pPr>
      <w:r>
        <w:rPr>
          <w:rFonts w:hint="eastAsia" w:eastAsia="方正仿宋简体"/>
          <w:b/>
          <w:sz w:val="32"/>
          <w:szCs w:val="30"/>
        </w:rPr>
        <w:t>一、</w:t>
      </w:r>
      <w:r>
        <w:rPr>
          <w:rFonts w:eastAsia="方正仿宋简体"/>
          <w:b/>
          <w:sz w:val="32"/>
          <w:szCs w:val="30"/>
        </w:rPr>
        <w:t>一般公共预算拨款收入：</w:t>
      </w:r>
      <w:r>
        <w:rPr>
          <w:rFonts w:eastAsia="方正仿宋简体"/>
          <w:sz w:val="32"/>
          <w:szCs w:val="30"/>
        </w:rPr>
        <w:t>指中央财政当年拨付的资金。</w:t>
      </w:r>
    </w:p>
    <w:p>
      <w:pPr>
        <w:spacing w:line="578" w:lineRule="exact"/>
        <w:ind w:firstLine="642" w:firstLineChars="200"/>
        <w:rPr>
          <w:rFonts w:eastAsia="方正仿宋简体"/>
          <w:sz w:val="32"/>
          <w:szCs w:val="30"/>
        </w:rPr>
      </w:pPr>
      <w:r>
        <w:rPr>
          <w:rFonts w:hint="eastAsia" w:eastAsia="方正仿宋简体"/>
          <w:b/>
          <w:sz w:val="32"/>
          <w:szCs w:val="30"/>
          <w:lang w:bidi="ar"/>
        </w:rPr>
        <w:t>二、</w:t>
      </w:r>
      <w:r>
        <w:rPr>
          <w:rFonts w:eastAsia="方正仿宋简体"/>
          <w:b/>
          <w:sz w:val="32"/>
          <w:szCs w:val="30"/>
          <w:lang w:bidi="ar"/>
        </w:rPr>
        <w:t>其他收入：</w:t>
      </w:r>
      <w:r>
        <w:rPr>
          <w:rFonts w:eastAsia="方正仿宋简体"/>
          <w:sz w:val="32"/>
          <w:szCs w:val="30"/>
          <w:lang w:bidi="ar"/>
        </w:rPr>
        <w:t>指除上述“一般公共预算拨款收入”以外的收入。</w:t>
      </w:r>
      <w:r>
        <w:rPr>
          <w:rFonts w:hint="default" w:eastAsia="方正仿宋简体"/>
          <w:sz w:val="32"/>
          <w:szCs w:val="30"/>
          <w:lang w:val="en" w:bidi="ar"/>
        </w:rPr>
        <w:t>福建省森林消防总队</w:t>
      </w:r>
      <w:r>
        <w:rPr>
          <w:rFonts w:eastAsia="方正仿宋简体"/>
          <w:sz w:val="32"/>
          <w:szCs w:val="30"/>
          <w:lang w:bidi="ar"/>
        </w:rPr>
        <w:t>的其他收入主要是地方财政部门拨付的经费。</w:t>
      </w:r>
    </w:p>
    <w:p>
      <w:pPr>
        <w:spacing w:line="578" w:lineRule="exact"/>
        <w:ind w:firstLine="642" w:firstLineChars="200"/>
        <w:rPr>
          <w:rFonts w:hint="eastAsia" w:eastAsia="方正仿宋简体"/>
          <w:sz w:val="32"/>
          <w:szCs w:val="30"/>
          <w:highlight w:val="red"/>
          <w:lang w:eastAsia="zh-CN"/>
        </w:rPr>
      </w:pPr>
      <w:r>
        <w:rPr>
          <w:rFonts w:hint="eastAsia" w:eastAsia="方正仿宋简体"/>
          <w:b/>
          <w:sz w:val="32"/>
          <w:szCs w:val="30"/>
          <w:lang w:bidi="ar"/>
        </w:rPr>
        <w:t>三、年初结转和结余：</w:t>
      </w:r>
      <w:r>
        <w:rPr>
          <w:rFonts w:hint="eastAsia" w:eastAsia="方正仿宋简体"/>
          <w:sz w:val="32"/>
          <w:szCs w:val="30"/>
          <w:highlight w:val="none"/>
          <w:lang w:bidi="ar"/>
        </w:rPr>
        <w:t>指单位以前年度尚未完成、结转到本年仍按原规定用途继续使用的资金，或项目已完成等产生的结余资金</w:t>
      </w:r>
      <w:r>
        <w:rPr>
          <w:rFonts w:hint="eastAsia" w:eastAsia="方正仿宋简体"/>
          <w:sz w:val="32"/>
          <w:szCs w:val="30"/>
          <w:highlight w:val="none"/>
          <w:lang w:eastAsia="zh-CN" w:bidi="ar"/>
        </w:rPr>
        <w:t>。</w:t>
      </w:r>
    </w:p>
    <w:p>
      <w:pPr>
        <w:spacing w:line="578" w:lineRule="exact"/>
        <w:ind w:firstLine="642" w:firstLineChars="200"/>
        <w:rPr>
          <w:rFonts w:eastAsia="方正仿宋简体"/>
          <w:sz w:val="32"/>
          <w:szCs w:val="30"/>
          <w:lang w:bidi="ar"/>
        </w:rPr>
      </w:pPr>
      <w:r>
        <w:rPr>
          <w:rFonts w:hint="eastAsia" w:eastAsia="方正仿宋简体"/>
          <w:b/>
          <w:sz w:val="32"/>
          <w:szCs w:val="30"/>
          <w:lang w:eastAsia="zh-CN" w:bidi="ar"/>
        </w:rPr>
        <w:t>四</w:t>
      </w:r>
      <w:r>
        <w:rPr>
          <w:rFonts w:hint="eastAsia" w:eastAsia="方正仿宋简体"/>
          <w:b/>
          <w:sz w:val="32"/>
          <w:szCs w:val="30"/>
          <w:lang w:bidi="ar"/>
        </w:rPr>
        <w:t>、</w:t>
      </w:r>
      <w:r>
        <w:rPr>
          <w:rFonts w:eastAsia="方正仿宋简体"/>
          <w:b/>
          <w:sz w:val="32"/>
          <w:szCs w:val="30"/>
          <w:lang w:bidi="ar"/>
        </w:rPr>
        <w:t>住房保障（类）住房改革支出（款）住房公积金（项）：</w:t>
      </w:r>
      <w:r>
        <w:rPr>
          <w:rFonts w:hint="eastAsia" w:eastAsia="方正仿宋简体"/>
          <w:sz w:val="32"/>
          <w:szCs w:val="30"/>
          <w:lang w:bidi="ar"/>
        </w:rPr>
        <w:t>反映行政事业单位按人力资源和社会保障部、财政部规定的基本工资和津贴补贴以及规定比例为职工缴纳的住房公积金。</w:t>
      </w:r>
    </w:p>
    <w:p>
      <w:pPr>
        <w:spacing w:line="578" w:lineRule="exact"/>
        <w:ind w:firstLine="642" w:firstLineChars="200"/>
        <w:rPr>
          <w:rFonts w:hint="eastAsia" w:eastAsia="方正仿宋简体"/>
          <w:b w:val="0"/>
          <w:bCs/>
          <w:sz w:val="32"/>
          <w:szCs w:val="30"/>
          <w:lang w:eastAsia="zh-CN" w:bidi="ar"/>
        </w:rPr>
      </w:pPr>
      <w:r>
        <w:rPr>
          <w:rFonts w:hint="eastAsia" w:eastAsia="方正仿宋简体"/>
          <w:b/>
          <w:sz w:val="32"/>
          <w:szCs w:val="30"/>
          <w:lang w:eastAsia="zh-CN" w:bidi="ar"/>
        </w:rPr>
        <w:t>五、</w:t>
      </w:r>
      <w:r>
        <w:rPr>
          <w:rFonts w:hint="eastAsia" w:eastAsia="方正仿宋简体"/>
          <w:b/>
          <w:bCs w:val="0"/>
          <w:sz w:val="32"/>
          <w:szCs w:val="30"/>
          <w:lang w:bidi="ar"/>
        </w:rPr>
        <w:t>住房保障支出（类）住房改革支出（款）提租补贴（项）：</w:t>
      </w:r>
      <w:r>
        <w:rPr>
          <w:rFonts w:hint="eastAsia" w:eastAsia="方正仿宋简体"/>
          <w:b w:val="0"/>
          <w:bCs/>
          <w:sz w:val="32"/>
          <w:szCs w:val="30"/>
          <w:lang w:bidi="ar"/>
        </w:rPr>
        <w:t>反映按房改政策规定的标准，行政事业单位向职工（含离退休人员）发放的租金补贴</w:t>
      </w:r>
      <w:r>
        <w:rPr>
          <w:rFonts w:hint="eastAsia" w:eastAsia="方正仿宋简体"/>
          <w:b w:val="0"/>
          <w:bCs/>
          <w:sz w:val="32"/>
          <w:szCs w:val="30"/>
          <w:lang w:eastAsia="zh-CN" w:bidi="ar"/>
        </w:rPr>
        <w:t>。</w:t>
      </w:r>
    </w:p>
    <w:p>
      <w:pPr>
        <w:spacing w:line="578" w:lineRule="exact"/>
        <w:ind w:firstLine="642" w:firstLineChars="200"/>
        <w:rPr>
          <w:rFonts w:hint="eastAsia" w:eastAsia="方正仿宋简体"/>
          <w:sz w:val="32"/>
          <w:szCs w:val="30"/>
          <w:lang w:bidi="ar"/>
        </w:rPr>
      </w:pPr>
      <w:r>
        <w:rPr>
          <w:rFonts w:hint="eastAsia" w:eastAsia="方正仿宋简体"/>
          <w:b/>
          <w:sz w:val="32"/>
          <w:szCs w:val="30"/>
          <w:lang w:eastAsia="zh-CN" w:bidi="ar"/>
        </w:rPr>
        <w:t>六</w:t>
      </w:r>
      <w:r>
        <w:rPr>
          <w:rFonts w:hint="eastAsia" w:eastAsia="方正仿宋简体"/>
          <w:b/>
          <w:sz w:val="32"/>
          <w:szCs w:val="30"/>
          <w:lang w:bidi="ar"/>
        </w:rPr>
        <w:t>、</w:t>
      </w:r>
      <w:r>
        <w:rPr>
          <w:rFonts w:eastAsia="方正仿宋简体"/>
          <w:b/>
          <w:sz w:val="32"/>
          <w:szCs w:val="30"/>
          <w:lang w:bidi="ar"/>
        </w:rPr>
        <w:t>住房保障（类）住房改革支出（款）购房补贴（项）：</w:t>
      </w:r>
      <w:r>
        <w:rPr>
          <w:rFonts w:hint="eastAsia" w:eastAsia="方正仿宋简体"/>
          <w:sz w:val="32"/>
          <w:szCs w:val="30"/>
          <w:lang w:bidi="ar"/>
        </w:rPr>
        <w:t>反映按房改政策规定，行政事业单位向符合条件职工（含离退休人员）发放的用于购买住房的补贴。</w:t>
      </w:r>
    </w:p>
    <w:p>
      <w:pPr>
        <w:spacing w:line="578" w:lineRule="exact"/>
        <w:ind w:firstLine="642" w:firstLineChars="200"/>
        <w:rPr>
          <w:rFonts w:eastAsia="方正仿宋简体"/>
          <w:sz w:val="32"/>
          <w:szCs w:val="30"/>
          <w:lang w:bidi="ar"/>
        </w:rPr>
      </w:pPr>
      <w:r>
        <w:rPr>
          <w:rFonts w:hint="eastAsia" w:eastAsia="方正仿宋简体"/>
          <w:b/>
          <w:sz w:val="32"/>
          <w:szCs w:val="30"/>
          <w:lang w:eastAsia="zh-CN" w:bidi="ar"/>
        </w:rPr>
        <w:t>七</w:t>
      </w:r>
      <w:r>
        <w:rPr>
          <w:rFonts w:hint="eastAsia" w:eastAsia="方正仿宋简体"/>
          <w:b/>
          <w:sz w:val="32"/>
          <w:szCs w:val="30"/>
          <w:lang w:bidi="ar"/>
        </w:rPr>
        <w:t>、</w:t>
      </w:r>
      <w:r>
        <w:rPr>
          <w:rFonts w:eastAsia="方正仿宋简体"/>
          <w:b/>
          <w:sz w:val="32"/>
          <w:szCs w:val="32"/>
          <w:lang w:bidi="ar"/>
        </w:rPr>
        <w:t>灾害防治及应急管理支出（类）森林消防事务（款）行政运行（项）</w:t>
      </w:r>
      <w:r>
        <w:rPr>
          <w:rFonts w:eastAsia="方正仿宋简体"/>
          <w:b/>
          <w:sz w:val="32"/>
          <w:szCs w:val="30"/>
          <w:lang w:bidi="ar"/>
        </w:rPr>
        <w:t>：</w:t>
      </w:r>
      <w:r>
        <w:rPr>
          <w:rFonts w:eastAsia="方正仿宋简体"/>
          <w:sz w:val="32"/>
          <w:szCs w:val="30"/>
          <w:lang w:bidi="ar"/>
        </w:rPr>
        <w:t>指</w:t>
      </w:r>
      <w:r>
        <w:rPr>
          <w:rFonts w:eastAsia="方正仿宋简体"/>
          <w:sz w:val="32"/>
          <w:szCs w:val="30"/>
          <w:lang w:val="en" w:bidi="ar"/>
        </w:rPr>
        <w:t>福建省森林消防总队</w:t>
      </w:r>
      <w:r>
        <w:rPr>
          <w:rFonts w:eastAsia="方正仿宋简体"/>
          <w:sz w:val="32"/>
          <w:szCs w:val="30"/>
          <w:lang w:bidi="ar"/>
        </w:rPr>
        <w:t>各级用于保障机构正常运行、开展日常工作的基本支出。</w:t>
      </w:r>
    </w:p>
    <w:p>
      <w:pPr>
        <w:spacing w:line="578" w:lineRule="exact"/>
        <w:ind w:firstLine="642" w:firstLineChars="200"/>
        <w:rPr>
          <w:rFonts w:eastAsia="方正仿宋简体"/>
        </w:rPr>
      </w:pPr>
      <w:r>
        <w:rPr>
          <w:rFonts w:hint="eastAsia" w:eastAsia="方正仿宋简体"/>
          <w:b/>
          <w:sz w:val="32"/>
          <w:szCs w:val="32"/>
          <w:lang w:eastAsia="zh-CN" w:bidi="ar"/>
        </w:rPr>
        <w:t>八</w:t>
      </w:r>
      <w:r>
        <w:rPr>
          <w:rFonts w:hint="eastAsia" w:eastAsia="方正仿宋简体"/>
          <w:b/>
          <w:sz w:val="32"/>
          <w:szCs w:val="32"/>
          <w:lang w:bidi="ar"/>
        </w:rPr>
        <w:t>、</w:t>
      </w:r>
      <w:r>
        <w:rPr>
          <w:rFonts w:eastAsia="方正仿宋简体"/>
          <w:b/>
          <w:sz w:val="32"/>
          <w:szCs w:val="32"/>
          <w:lang w:bidi="ar"/>
        </w:rPr>
        <w:t>灾害防治及应急管理支出（类）森林消防事务（款）森林消防应急救援（项）：</w:t>
      </w:r>
      <w:r>
        <w:rPr>
          <w:rFonts w:eastAsia="方正仿宋简体"/>
          <w:sz w:val="32"/>
          <w:szCs w:val="30"/>
          <w:lang w:bidi="ar"/>
        </w:rPr>
        <w:t>指</w:t>
      </w:r>
      <w:r>
        <w:rPr>
          <w:rFonts w:eastAsia="方正仿宋简体"/>
          <w:sz w:val="32"/>
          <w:szCs w:val="30"/>
          <w:lang w:val="en" w:bidi="ar"/>
        </w:rPr>
        <w:t>福建省森林消防总队</w:t>
      </w:r>
      <w:r>
        <w:rPr>
          <w:rFonts w:eastAsia="方正仿宋简体"/>
          <w:sz w:val="32"/>
          <w:szCs w:val="30"/>
          <w:lang w:bidi="ar"/>
        </w:rPr>
        <w:t>各级用于</w:t>
      </w:r>
      <w:r>
        <w:rPr>
          <w:rFonts w:hint="eastAsia" w:eastAsia="方正仿宋简体"/>
          <w:sz w:val="32"/>
          <w:szCs w:val="30"/>
          <w:lang w:bidi="ar"/>
        </w:rPr>
        <w:t>履行</w:t>
      </w:r>
      <w:r>
        <w:rPr>
          <w:rFonts w:eastAsia="方正仿宋简体"/>
          <w:sz w:val="32"/>
          <w:szCs w:val="30"/>
          <w:lang w:bidi="ar"/>
        </w:rPr>
        <w:t>单位职责，遂行综合性消防救援任务的各类项目支出，包括消防救援装备</w:t>
      </w:r>
      <w:r>
        <w:rPr>
          <w:rFonts w:hint="eastAsia" w:eastAsia="方正仿宋简体"/>
          <w:sz w:val="32"/>
          <w:szCs w:val="30"/>
          <w:lang w:bidi="ar"/>
        </w:rPr>
        <w:t>购置</w:t>
      </w:r>
      <w:r>
        <w:rPr>
          <w:rFonts w:eastAsia="方正仿宋简体"/>
          <w:sz w:val="32"/>
          <w:szCs w:val="30"/>
          <w:lang w:bidi="ar"/>
        </w:rPr>
        <w:t>、</w:t>
      </w:r>
      <w:r>
        <w:rPr>
          <w:rFonts w:hint="eastAsia" w:eastAsia="方正仿宋简体"/>
          <w:sz w:val="32"/>
          <w:szCs w:val="30"/>
          <w:lang w:bidi="ar"/>
        </w:rPr>
        <w:t>森林消防</w:t>
      </w:r>
      <w:r>
        <w:rPr>
          <w:rFonts w:eastAsia="方正仿宋简体"/>
          <w:sz w:val="32"/>
          <w:szCs w:val="30"/>
          <w:lang w:bidi="ar"/>
        </w:rPr>
        <w:t>专项业务费、信息化建设、基础设施建设和资产运行维护、信息化运行维护等支出。</w:t>
      </w:r>
    </w:p>
    <w:p>
      <w:pPr>
        <w:spacing w:line="578" w:lineRule="exact"/>
        <w:ind w:firstLine="642" w:firstLineChars="200"/>
        <w:rPr>
          <w:rFonts w:eastAsia="方正仿宋简体"/>
        </w:rPr>
      </w:pPr>
      <w:r>
        <w:rPr>
          <w:rFonts w:hint="eastAsia" w:eastAsia="方正仿宋简体"/>
          <w:b/>
          <w:sz w:val="32"/>
          <w:szCs w:val="32"/>
          <w:lang w:eastAsia="zh-CN" w:bidi="ar"/>
        </w:rPr>
        <w:t>九</w:t>
      </w:r>
      <w:r>
        <w:rPr>
          <w:rFonts w:hint="eastAsia" w:eastAsia="方正仿宋简体"/>
          <w:b/>
          <w:sz w:val="32"/>
          <w:szCs w:val="32"/>
          <w:lang w:bidi="ar"/>
        </w:rPr>
        <w:t>、</w:t>
      </w:r>
      <w:r>
        <w:rPr>
          <w:rFonts w:eastAsia="方正仿宋简体"/>
          <w:b/>
          <w:sz w:val="32"/>
          <w:szCs w:val="32"/>
          <w:lang w:bidi="ar"/>
        </w:rPr>
        <w:t>灾害防治及应急管理支出（类）森林消防事务（款）其他森林消防事务支出（项）：</w:t>
      </w:r>
      <w:r>
        <w:rPr>
          <w:rFonts w:eastAsia="方正仿宋简体"/>
          <w:sz w:val="32"/>
          <w:szCs w:val="30"/>
          <w:lang w:bidi="ar"/>
        </w:rPr>
        <w:t>指</w:t>
      </w:r>
      <w:r>
        <w:rPr>
          <w:rFonts w:eastAsia="方正仿宋简体"/>
          <w:sz w:val="32"/>
          <w:szCs w:val="30"/>
          <w:lang w:val="en" w:bidi="ar"/>
        </w:rPr>
        <w:t>福建省森林消防总队</w:t>
      </w:r>
      <w:r>
        <w:rPr>
          <w:rFonts w:eastAsia="方正仿宋简体"/>
          <w:sz w:val="32"/>
          <w:szCs w:val="30"/>
          <w:lang w:bidi="ar"/>
        </w:rPr>
        <w:t>的财政机动费</w:t>
      </w:r>
      <w:r>
        <w:rPr>
          <w:rFonts w:hint="eastAsia" w:eastAsia="方正仿宋简体"/>
          <w:sz w:val="32"/>
          <w:szCs w:val="30"/>
          <w:lang w:bidi="ar"/>
        </w:rPr>
        <w:t>和其他用于森林消防方面的支出</w:t>
      </w:r>
      <w:r>
        <w:rPr>
          <w:rFonts w:eastAsia="方正仿宋简体"/>
          <w:sz w:val="32"/>
          <w:szCs w:val="30"/>
          <w:lang w:bidi="ar"/>
        </w:rPr>
        <w:t>。</w:t>
      </w:r>
    </w:p>
    <w:p>
      <w:pPr>
        <w:spacing w:line="578" w:lineRule="exact"/>
        <w:ind w:firstLine="642" w:firstLineChars="200"/>
        <w:rPr>
          <w:rFonts w:hint="eastAsia" w:eastAsia="方正仿宋简体"/>
          <w:b w:val="0"/>
          <w:bCs/>
          <w:sz w:val="32"/>
          <w:szCs w:val="30"/>
          <w:lang w:eastAsia="zh-CN" w:bidi="ar"/>
        </w:rPr>
      </w:pPr>
      <w:r>
        <w:rPr>
          <w:rFonts w:hint="eastAsia" w:eastAsia="方正仿宋简体"/>
          <w:b/>
          <w:sz w:val="32"/>
          <w:szCs w:val="30"/>
          <w:lang w:eastAsia="zh-CN" w:bidi="ar"/>
        </w:rPr>
        <w:t>十</w:t>
      </w:r>
      <w:r>
        <w:rPr>
          <w:rFonts w:hint="eastAsia" w:eastAsia="方正仿宋简体"/>
          <w:b/>
          <w:sz w:val="32"/>
          <w:szCs w:val="30"/>
          <w:lang w:bidi="ar"/>
        </w:rPr>
        <w:t>、年末结转和结余：</w:t>
      </w:r>
      <w:r>
        <w:rPr>
          <w:rFonts w:hint="eastAsia" w:eastAsia="方正仿宋简体"/>
          <w:b w:val="0"/>
          <w:bCs/>
          <w:sz w:val="32"/>
          <w:szCs w:val="30"/>
          <w:lang w:bidi="ar"/>
        </w:rPr>
        <w:t>指单位按有关规定结转到下年度继续使用的资金，或项目已完成等产生的结余资金</w:t>
      </w:r>
      <w:r>
        <w:rPr>
          <w:rFonts w:hint="eastAsia" w:eastAsia="方正仿宋简体"/>
          <w:b w:val="0"/>
          <w:bCs/>
          <w:sz w:val="32"/>
          <w:szCs w:val="30"/>
          <w:lang w:eastAsia="zh-CN" w:bidi="ar"/>
        </w:rPr>
        <w:t>。</w:t>
      </w:r>
    </w:p>
    <w:p>
      <w:pPr>
        <w:spacing w:line="578" w:lineRule="exact"/>
        <w:ind w:firstLine="642" w:firstLineChars="200"/>
        <w:rPr>
          <w:rFonts w:eastAsia="方正仿宋简体"/>
          <w:sz w:val="32"/>
          <w:szCs w:val="30"/>
        </w:rPr>
      </w:pPr>
      <w:r>
        <w:rPr>
          <w:rFonts w:hint="eastAsia" w:eastAsia="方正仿宋简体"/>
          <w:b/>
          <w:sz w:val="32"/>
          <w:szCs w:val="30"/>
          <w:lang w:bidi="ar"/>
        </w:rPr>
        <w:t>十</w:t>
      </w:r>
      <w:r>
        <w:rPr>
          <w:rFonts w:hint="eastAsia" w:eastAsia="方正仿宋简体"/>
          <w:b/>
          <w:sz w:val="32"/>
          <w:szCs w:val="30"/>
          <w:lang w:eastAsia="zh-CN" w:bidi="ar"/>
        </w:rPr>
        <w:t>一</w:t>
      </w:r>
      <w:r>
        <w:rPr>
          <w:rFonts w:hint="eastAsia" w:eastAsia="方正仿宋简体"/>
          <w:b/>
          <w:sz w:val="32"/>
          <w:szCs w:val="30"/>
          <w:lang w:bidi="ar"/>
        </w:rPr>
        <w:t>、</w:t>
      </w:r>
      <w:r>
        <w:rPr>
          <w:rFonts w:eastAsia="方正仿宋简体"/>
          <w:b/>
          <w:sz w:val="32"/>
          <w:szCs w:val="30"/>
          <w:lang w:bidi="ar"/>
        </w:rPr>
        <w:t>基本支出：</w:t>
      </w:r>
      <w:r>
        <w:rPr>
          <w:rFonts w:eastAsia="方正仿宋简体"/>
          <w:sz w:val="32"/>
          <w:szCs w:val="30"/>
          <w:lang w:bidi="ar"/>
        </w:rPr>
        <w:t>指为保障机构正常运转、完成日常工作任务而发生的人员经费支出和公用经费支出。</w:t>
      </w:r>
    </w:p>
    <w:p>
      <w:pPr>
        <w:spacing w:line="578" w:lineRule="exact"/>
        <w:ind w:firstLine="642" w:firstLineChars="200"/>
        <w:rPr>
          <w:rFonts w:eastAsia="方正仿宋简体"/>
          <w:sz w:val="32"/>
          <w:szCs w:val="30"/>
        </w:rPr>
      </w:pPr>
      <w:r>
        <w:rPr>
          <w:rFonts w:hint="eastAsia" w:eastAsia="方正仿宋简体"/>
          <w:b/>
          <w:sz w:val="32"/>
          <w:szCs w:val="30"/>
          <w:lang w:bidi="ar"/>
        </w:rPr>
        <w:t>十</w:t>
      </w:r>
      <w:r>
        <w:rPr>
          <w:rFonts w:hint="eastAsia" w:eastAsia="方正仿宋简体"/>
          <w:b/>
          <w:sz w:val="32"/>
          <w:szCs w:val="30"/>
          <w:lang w:eastAsia="zh-CN" w:bidi="ar"/>
        </w:rPr>
        <w:t>二</w:t>
      </w:r>
      <w:r>
        <w:rPr>
          <w:rFonts w:hint="eastAsia" w:eastAsia="方正仿宋简体"/>
          <w:b/>
          <w:sz w:val="32"/>
          <w:szCs w:val="30"/>
          <w:lang w:bidi="ar"/>
        </w:rPr>
        <w:t>、</w:t>
      </w:r>
      <w:r>
        <w:rPr>
          <w:rFonts w:eastAsia="方正仿宋简体"/>
          <w:b/>
          <w:sz w:val="32"/>
          <w:szCs w:val="30"/>
          <w:lang w:bidi="ar"/>
        </w:rPr>
        <w:t>项目支出：</w:t>
      </w:r>
      <w:r>
        <w:rPr>
          <w:rFonts w:eastAsia="方正仿宋简体"/>
          <w:sz w:val="32"/>
          <w:szCs w:val="30"/>
          <w:lang w:bidi="ar"/>
        </w:rPr>
        <w:t>指在基本支出之外为完成特定行政任务或事业发展目标所发生的支出。</w:t>
      </w:r>
    </w:p>
    <w:p>
      <w:pPr>
        <w:spacing w:line="578" w:lineRule="exact"/>
        <w:ind w:firstLine="642" w:firstLineChars="200"/>
        <w:rPr>
          <w:rFonts w:eastAsia="方正仿宋简体"/>
          <w:sz w:val="32"/>
          <w:szCs w:val="30"/>
          <w:lang w:bidi="ar"/>
        </w:rPr>
      </w:pPr>
      <w:r>
        <w:rPr>
          <w:rFonts w:eastAsia="方正仿宋简体"/>
          <w:b/>
          <w:sz w:val="32"/>
          <w:szCs w:val="30"/>
          <w:lang w:bidi="ar"/>
        </w:rPr>
        <w:t>十</w:t>
      </w:r>
      <w:r>
        <w:rPr>
          <w:rFonts w:hint="eastAsia" w:eastAsia="方正仿宋简体"/>
          <w:b/>
          <w:sz w:val="32"/>
          <w:szCs w:val="30"/>
          <w:lang w:eastAsia="zh-CN" w:bidi="ar"/>
        </w:rPr>
        <w:t>三</w:t>
      </w:r>
      <w:r>
        <w:rPr>
          <w:rFonts w:hint="eastAsia" w:eastAsia="方正仿宋简体"/>
          <w:b/>
          <w:sz w:val="32"/>
          <w:szCs w:val="30"/>
          <w:lang w:bidi="ar"/>
        </w:rPr>
        <w:t>、</w:t>
      </w:r>
      <w:r>
        <w:rPr>
          <w:rFonts w:eastAsia="方正仿宋简体"/>
          <w:b/>
          <w:sz w:val="32"/>
          <w:szCs w:val="30"/>
          <w:lang w:bidi="ar"/>
        </w:rPr>
        <w:t>“三公”经费：</w:t>
      </w:r>
      <w:r>
        <w:rPr>
          <w:rFonts w:eastAsia="方正仿宋简体"/>
          <w:sz w:val="32"/>
          <w:szCs w:val="30"/>
          <w:lang w:bidi="ar"/>
        </w:rPr>
        <w:t>纳入中央财政预决算管理的“三公”经费，是指中央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燃料费、维修费、过路过桥费、保险费、安全奖励费用等支出；公务接待费反映单位按规定开支的各类公务接待支出。</w:t>
      </w:r>
    </w:p>
    <w:p>
      <w:pPr>
        <w:spacing w:line="578" w:lineRule="exact"/>
        <w:ind w:firstLine="642" w:firstLineChars="200"/>
        <w:rPr>
          <w:rFonts w:eastAsia="方正仿宋简体"/>
          <w:sz w:val="32"/>
          <w:szCs w:val="32"/>
        </w:rPr>
      </w:pPr>
      <w:r>
        <w:rPr>
          <w:rFonts w:eastAsia="方正仿宋简体"/>
          <w:b/>
          <w:sz w:val="32"/>
          <w:szCs w:val="30"/>
          <w:lang w:bidi="ar"/>
        </w:rPr>
        <w:t>十</w:t>
      </w:r>
      <w:r>
        <w:rPr>
          <w:rFonts w:hint="eastAsia" w:eastAsia="方正仿宋简体"/>
          <w:b/>
          <w:sz w:val="32"/>
          <w:szCs w:val="30"/>
          <w:lang w:eastAsia="zh-CN" w:bidi="ar"/>
        </w:rPr>
        <w:t>四</w:t>
      </w:r>
      <w:r>
        <w:rPr>
          <w:rFonts w:hint="eastAsia" w:eastAsia="方正仿宋简体"/>
          <w:b/>
          <w:sz w:val="32"/>
          <w:szCs w:val="30"/>
          <w:lang w:bidi="ar"/>
        </w:rPr>
        <w:t>、</w:t>
      </w:r>
      <w:r>
        <w:rPr>
          <w:rFonts w:eastAsia="方正仿宋简体"/>
          <w:b/>
          <w:sz w:val="32"/>
          <w:szCs w:val="30"/>
          <w:lang w:bidi="ar"/>
        </w:rPr>
        <w:t>机关运行经费：</w:t>
      </w:r>
      <w:r>
        <w:rPr>
          <w:rFonts w:eastAsia="方正仿宋简体"/>
          <w:sz w:val="32"/>
          <w:szCs w:val="30"/>
          <w:lang w:bidi="ar"/>
        </w:rPr>
        <w:t>为保障行政单位（包括参照公务员法管理事业单位）运行用于购买货物和服务的各项资金，包括办公及印刷费、邮电费、差旅费、会议费、日常维修费、专用材料及一般设备购置费、办公用房水电费、办公用房取暖费、办公用房物业管理费、公务用车运行维护费以及其他费用。</w:t>
      </w:r>
    </w:p>
    <w:p>
      <w:pPr>
        <w:spacing w:line="578" w:lineRule="exact"/>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800" w:firstLineChars="182"/>
        <w:rPr>
          <w:rFonts w:ascii="方正黑体简体" w:hAnsi="宋体" w:eastAsia="方正黑体简体" w:cs="黑体"/>
          <w:sz w:val="36"/>
          <w:szCs w:val="30"/>
          <w:lang w:bidi="ar"/>
        </w:rPr>
      </w:pPr>
      <w:r>
        <w:rPr>
          <w:rFonts w:hint="eastAsia" w:eastAsia="黑体"/>
          <w:sz w:val="44"/>
          <w:szCs w:val="44"/>
        </w:rPr>
        <mc:AlternateContent>
          <mc:Choice Requires="wps">
            <w:drawing>
              <wp:anchor distT="0" distB="0" distL="114300" distR="114300" simplePos="0" relativeHeight="251732992" behindDoc="0" locked="0" layoutInCell="1" allowOverlap="1">
                <wp:simplePos x="0" y="0"/>
                <wp:positionH relativeFrom="column">
                  <wp:posOffset>-1141095</wp:posOffset>
                </wp:positionH>
                <wp:positionV relativeFrom="paragraph">
                  <wp:posOffset>13970</wp:posOffset>
                </wp:positionV>
                <wp:extent cx="7761605" cy="1957705"/>
                <wp:effectExtent l="4445" t="4445" r="6350" b="19050"/>
                <wp:wrapNone/>
                <wp:docPr id="24" name="文本框 24"/>
                <wp:cNvGraphicFramePr/>
                <a:graphic xmlns:a="http://schemas.openxmlformats.org/drawingml/2006/main">
                  <a:graphicData uri="http://schemas.microsoft.com/office/word/2010/wordprocessingShape">
                    <wps:wsp>
                      <wps:cNvSpPr txBox="true"/>
                      <wps:spPr>
                        <a:xfrm>
                          <a:off x="0" y="0"/>
                          <a:ext cx="7761514" cy="1957705"/>
                        </a:xfrm>
                        <a:prstGeom prst="rect">
                          <a:avLst/>
                        </a:prstGeom>
                        <a:solidFill>
                          <a:srgbClr val="92D050">
                            <a:alpha val="88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1040" w:firstLineChars="200"/>
                              <w:rPr>
                                <w:rFonts w:ascii="方正黑体简体" w:eastAsia="方正黑体简体"/>
                                <w:sz w:val="52"/>
                              </w:rPr>
                            </w:pPr>
                            <w:r>
                              <w:rPr>
                                <w:rFonts w:hint="eastAsia" w:ascii="方正黑体简体" w:eastAsia="方正黑体简体"/>
                                <w:sz w:val="52"/>
                              </w:rPr>
                              <w:t>第五部分</w:t>
                            </w:r>
                          </w:p>
                          <w:p>
                            <w:pPr>
                              <w:ind w:firstLine="5040" w:firstLineChars="700"/>
                              <w:rPr>
                                <w:rFonts w:ascii="方正黑体简体" w:eastAsia="方正黑体简体"/>
                                <w:sz w:val="72"/>
                              </w:rPr>
                            </w:pPr>
                            <w:r>
                              <w:rPr>
                                <w:rFonts w:hint="eastAsia" w:ascii="方正黑体简体" w:eastAsia="方正黑体简体"/>
                                <w:sz w:val="72"/>
                              </w:rPr>
                              <w:t>附件</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9.85pt;margin-top:1.1pt;height:154.15pt;width:611.15pt;z-index:251732992;mso-width-relative:page;mso-height-relative:page;" fillcolor="#92D050" filled="t" stroked="t" coordsize="21600,21600" o:gfxdata="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vq6zP9oAAAALAQAADwAAAAAAAAABACAAAAA4AAAAZHJz&#10;L2Rvd25yZXYueG1sUEsBAhQAFAAAAAgAh07iQPUPjgheAgAArQQAAA4AAAAAAAAAAQAgAAAAPwEA&#10;AGRycy9lMm9Eb2MueG1sUEsFBgAAAAAGAAYAWQEAAA8GAAAAAA==&#10;">
                <v:fill on="t" opacity="57671f" focussize="0,0"/>
                <v:stroke weight="0.5pt" color="#000000 [3204]" joinstyle="round"/>
                <v:imagedata o:title=""/>
                <o:lock v:ext="edit" aspectratio="f"/>
                <v:textbox>
                  <w:txbxContent>
                    <w:p>
                      <w:pPr>
                        <w:ind w:firstLine="1040" w:firstLineChars="200"/>
                        <w:rPr>
                          <w:rFonts w:ascii="方正黑体简体" w:eastAsia="方正黑体简体"/>
                          <w:sz w:val="52"/>
                        </w:rPr>
                      </w:pPr>
                      <w:r>
                        <w:rPr>
                          <w:rFonts w:hint="eastAsia" w:ascii="方正黑体简体" w:eastAsia="方正黑体简体"/>
                          <w:sz w:val="52"/>
                        </w:rPr>
                        <w:t>第五部分</w:t>
                      </w:r>
                    </w:p>
                    <w:p>
                      <w:pPr>
                        <w:ind w:firstLine="5040" w:firstLineChars="700"/>
                        <w:rPr>
                          <w:rFonts w:ascii="方正黑体简体" w:eastAsia="方正黑体简体"/>
                          <w:sz w:val="72"/>
                        </w:rPr>
                      </w:pPr>
                      <w:r>
                        <w:rPr>
                          <w:rFonts w:hint="eastAsia" w:ascii="方正黑体简体" w:eastAsia="方正黑体简体"/>
                          <w:sz w:val="72"/>
                        </w:rPr>
                        <w:t>附件</w:t>
                      </w:r>
                    </w:p>
                  </w:txbxContent>
                </v:textbox>
              </v:shape>
            </w:pict>
          </mc:Fallback>
        </mc:AlternateContent>
      </w: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ind w:firstLine="640" w:firstLineChars="200"/>
        <w:rPr>
          <w:rFonts w:eastAsia="方正仿宋简体"/>
          <w:sz w:val="32"/>
          <w:szCs w:val="30"/>
          <w:lang w:bidi="ar"/>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Style w:val="19"/>
          <w:rFonts w:eastAsia="方正黑体简体"/>
          <w:bCs/>
          <w:color w:val="auto"/>
          <w:sz w:val="40"/>
          <w:szCs w:val="32"/>
          <w:u w:val="none"/>
          <w:lang w:val="en"/>
        </w:rPr>
      </w:pPr>
    </w:p>
    <w:p>
      <w:pPr>
        <w:spacing w:line="578" w:lineRule="exact"/>
        <w:outlineLvl w:val="0"/>
        <w:rPr>
          <w:rFonts w:hint="eastAsia" w:eastAsia="宋体"/>
          <w:color w:val="FF0000"/>
          <w:sz w:val="22"/>
          <w:lang w:eastAsia="zh-CN"/>
        </w:rPr>
      </w:pPr>
      <w:r>
        <w:rPr>
          <w:rFonts w:eastAsia="方正黑体简体"/>
          <w:bCs/>
          <w:sz w:val="40"/>
          <w:szCs w:val="32"/>
        </w:rPr>
        <mc:AlternateContent>
          <mc:Choice Requires="wps">
            <w:drawing>
              <wp:anchor distT="0" distB="0" distL="114300" distR="114300" simplePos="0" relativeHeight="252168192" behindDoc="0" locked="0" layoutInCell="1" allowOverlap="1">
                <wp:simplePos x="0" y="0"/>
                <wp:positionH relativeFrom="column">
                  <wp:posOffset>4577715</wp:posOffset>
                </wp:positionH>
                <wp:positionV relativeFrom="paragraph">
                  <wp:posOffset>126365</wp:posOffset>
                </wp:positionV>
                <wp:extent cx="163195" cy="173990"/>
                <wp:effectExtent l="12700" t="12700" r="14605" b="22860"/>
                <wp:wrapNone/>
                <wp:docPr id="20" name="燕尾形 20"/>
                <wp:cNvGraphicFramePr/>
                <a:graphic xmlns:a="http://schemas.openxmlformats.org/drawingml/2006/main">
                  <a:graphicData uri="http://schemas.microsoft.com/office/word/2010/wordprocessingShape">
                    <wps:wsp>
                      <wps:cNvSpPr/>
                      <wps:spPr>
                        <a:xfrm>
                          <a:off x="0" y="0"/>
                          <a:ext cx="163195" cy="173990"/>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55" type="#_x0000_t55" style="position:absolute;left:0pt;margin-left:360.45pt;margin-top:9.95pt;height:13.7pt;width:12.85pt;z-index:252168192;v-text-anchor:middle;mso-width-relative:page;mso-height-relative:page;" fillcolor="#000000 [3213]" filled="t" stroked="t" coordsize="21600,21600" o:gfxdata="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KAji0rWAAAACQEAAA8AAAAAAAAAAQAgAAAAOAAAAGRycy9kb3ducmV2LnhtbFBL&#10;AQIUABQAAAAIAIdO4kBBDJOhVAIAAKUEAAAOAAAAAAAAAAEAIAAAADsBAABkcnMvZTJvRG9jLnht&#10;bFBLBQYAAAAABgAGAFkBAAABBgAAAAA=&#10;" adj="10800">
                <v:fill on="t" focussize="0,0"/>
                <v:stroke weight="2pt" color="#000000 [3213]" joinstyle="round"/>
                <v:imagedata o:title=""/>
                <o:lock v:ext="edit" aspectratio="f"/>
              </v:shape>
            </w:pict>
          </mc:Fallback>
        </mc:AlternateContent>
      </w:r>
      <w:r>
        <w:rPr>
          <w:rStyle w:val="19"/>
          <w:rFonts w:eastAsia="方正黑体简体"/>
          <w:bCs/>
          <w:color w:val="auto"/>
          <w:sz w:val="40"/>
          <w:szCs w:val="32"/>
          <w:u w:val="none"/>
          <w:lang w:val="en"/>
        </w:rPr>
        <w:t>福建省森林消防总队</w:t>
      </w:r>
      <w:r>
        <w:rPr>
          <w:rStyle w:val="19"/>
          <w:rFonts w:hint="eastAsia" w:eastAsia="方正黑体简体"/>
          <w:bCs/>
          <w:color w:val="auto"/>
          <w:sz w:val="40"/>
          <w:szCs w:val="32"/>
          <w:u w:val="none"/>
        </w:rPr>
        <w:t>202</w:t>
      </w:r>
      <w:r>
        <w:rPr>
          <w:rStyle w:val="19"/>
          <w:rFonts w:hint="eastAsia" w:eastAsia="方正黑体简体"/>
          <w:bCs/>
          <w:color w:val="auto"/>
          <w:sz w:val="40"/>
          <w:szCs w:val="32"/>
          <w:u w:val="none"/>
          <w:lang w:val="en-US" w:eastAsia="zh-CN"/>
        </w:rPr>
        <w:t>1</w:t>
      </w:r>
      <w:r>
        <w:rPr>
          <w:rStyle w:val="19"/>
          <w:rFonts w:hint="eastAsia" w:eastAsia="方正黑体简体"/>
          <w:bCs/>
          <w:color w:val="auto"/>
          <w:sz w:val="40"/>
          <w:szCs w:val="32"/>
          <w:u w:val="none"/>
        </w:rPr>
        <w:t>年度部门决算</w:t>
      </w:r>
      <w:r>
        <w:rPr>
          <w:rStyle w:val="19"/>
          <w:rFonts w:eastAsia="方正黑体简体"/>
          <w:bCs/>
          <w:color w:val="auto"/>
          <w:sz w:val="40"/>
          <w:szCs w:val="32"/>
          <w:u w:val="none"/>
        </w:rPr>
        <w:t xml:space="preserve">   </w:t>
      </w:r>
      <w:r>
        <w:rPr>
          <w:rStyle w:val="19"/>
          <w:rFonts w:eastAsia="方正黑体简体"/>
          <w:bCs/>
          <w:color w:val="auto"/>
          <w:sz w:val="40"/>
          <w:szCs w:val="32"/>
          <w:u w:val="none"/>
        </w:rPr>
        <w:drawing>
          <wp:anchor distT="0" distB="0" distL="114300" distR="114300" simplePos="0" relativeHeight="252167168" behindDoc="0" locked="0" layoutInCell="1" allowOverlap="1">
            <wp:simplePos x="0" y="0"/>
            <wp:positionH relativeFrom="column">
              <wp:posOffset>7548245</wp:posOffset>
            </wp:positionH>
            <wp:positionV relativeFrom="paragraph">
              <wp:posOffset>-1604645</wp:posOffset>
            </wp:positionV>
            <wp:extent cx="5177790" cy="8827770"/>
            <wp:effectExtent l="0" t="0" r="3810" b="11430"/>
            <wp:wrapNone/>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5177790" cy="8827770"/>
                    </a:xfrm>
                    <a:prstGeom prst="rect">
                      <a:avLst/>
                    </a:prstGeom>
                    <a:noFill/>
                    <a:ln>
                      <a:noFill/>
                    </a:ln>
                  </pic:spPr>
                </pic:pic>
              </a:graphicData>
            </a:graphic>
          </wp:anchor>
        </w:drawing>
      </w:r>
      <w:r>
        <w:rPr>
          <w:rStyle w:val="19"/>
          <w:rFonts w:hint="eastAsia" w:eastAsia="方正黑体简体"/>
          <w:bCs/>
          <w:color w:val="auto"/>
          <w:sz w:val="40"/>
          <w:szCs w:val="32"/>
          <w:u w:val="none"/>
          <w:lang w:eastAsia="zh-CN"/>
        </w:rPr>
        <w:t>附件</w:t>
      </w:r>
    </w:p>
    <w:p>
      <w:pPr>
        <w:widowControl w:val="0"/>
        <w:adjustRightInd w:val="0"/>
        <w:snapToGrid w:val="0"/>
        <w:jc w:val="center"/>
        <w:outlineLvl w:val="9"/>
        <w:rPr>
          <w:rFonts w:eastAsia="方正仿宋简体"/>
          <w:bCs/>
          <w:color w:val="000000"/>
          <w:sz w:val="32"/>
          <w:szCs w:val="32"/>
        </w:rPr>
      </w:pPr>
      <w:r>
        <w:rPr>
          <w:rFonts w:hint="eastAsia" w:ascii="方正小标宋简体" w:hAnsi="方正小标宋简体" w:eastAsia="方正小标宋简体" w:cs="方正小标宋简体"/>
          <w:b w:val="0"/>
          <w:bCs/>
          <w:sz w:val="40"/>
          <w:szCs w:val="40"/>
          <w:lang w:eastAsia="zh-CN"/>
        </w:rPr>
        <w:drawing>
          <wp:inline distT="0" distB="0" distL="114300" distR="114300">
            <wp:extent cx="5300345" cy="7499350"/>
            <wp:effectExtent l="0" t="0" r="14605" b="6350"/>
            <wp:docPr id="54" name="图片 54" descr="20220822114759777_0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descr="20220822114759777_0001"/>
                    <pic:cNvPicPr>
                      <a:picLocks noChangeAspect="true"/>
                    </pic:cNvPicPr>
                  </pic:nvPicPr>
                  <pic:blipFill>
                    <a:blip r:embed="rId25"/>
                    <a:stretch>
                      <a:fillRect/>
                    </a:stretch>
                  </pic:blipFill>
                  <pic:spPr>
                    <a:xfrm>
                      <a:off x="0" y="0"/>
                      <a:ext cx="5300345" cy="7499350"/>
                    </a:xfrm>
                    <a:prstGeom prst="rect">
                      <a:avLst/>
                    </a:prstGeom>
                  </pic:spPr>
                </pic:pic>
              </a:graphicData>
            </a:graphic>
          </wp:inline>
        </w:drawing>
      </w:r>
      <w:r>
        <w:rPr>
          <w:rFonts w:hint="eastAsia" w:ascii="方正小标宋简体" w:hAnsi="方正小标宋简体" w:eastAsia="方正小标宋简体" w:cs="方正小标宋简体"/>
          <w:b w:val="0"/>
          <w:bCs/>
          <w:sz w:val="40"/>
          <w:szCs w:val="40"/>
          <w:lang w:eastAsia="zh-CN"/>
        </w:rPr>
        <w:drawing>
          <wp:inline distT="0" distB="0" distL="114300" distR="114300">
            <wp:extent cx="5608320" cy="7934960"/>
            <wp:effectExtent l="0" t="0" r="11430" b="8890"/>
            <wp:docPr id="53" name="图片 53" descr="20220822114759777_00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descr="20220822114759777_0002"/>
                    <pic:cNvPicPr>
                      <a:picLocks noChangeAspect="true"/>
                    </pic:cNvPicPr>
                  </pic:nvPicPr>
                  <pic:blipFill>
                    <a:blip r:embed="rId26"/>
                    <a:stretch>
                      <a:fillRect/>
                    </a:stretch>
                  </pic:blipFill>
                  <pic:spPr>
                    <a:xfrm>
                      <a:off x="0" y="0"/>
                      <a:ext cx="5608320" cy="7934960"/>
                    </a:xfrm>
                    <a:prstGeom prst="rect">
                      <a:avLst/>
                    </a:prstGeom>
                  </pic:spPr>
                </pic:pic>
              </a:graphicData>
            </a:graphic>
          </wp:inline>
        </w:drawing>
      </w:r>
      <w:r>
        <w:rPr>
          <w:rFonts w:hint="eastAsia" w:ascii="方正小标宋简体" w:hAnsi="方正小标宋简体" w:eastAsia="方正小标宋简体" w:cs="方正小标宋简体"/>
          <w:b w:val="0"/>
          <w:bCs/>
          <w:sz w:val="40"/>
          <w:szCs w:val="40"/>
          <w:lang w:eastAsia="zh-CN"/>
        </w:rPr>
        <w:drawing>
          <wp:inline distT="0" distB="0" distL="114300" distR="114300">
            <wp:extent cx="5316220" cy="7522210"/>
            <wp:effectExtent l="0" t="0" r="17780" b="2540"/>
            <wp:docPr id="52" name="图片 52" descr="20220822114759777_00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descr="20220822114759777_0003"/>
                    <pic:cNvPicPr>
                      <a:picLocks noChangeAspect="true"/>
                    </pic:cNvPicPr>
                  </pic:nvPicPr>
                  <pic:blipFill>
                    <a:blip r:embed="rId27"/>
                    <a:stretch>
                      <a:fillRect/>
                    </a:stretch>
                  </pic:blipFill>
                  <pic:spPr>
                    <a:xfrm>
                      <a:off x="0" y="0"/>
                      <a:ext cx="5316220" cy="7522210"/>
                    </a:xfrm>
                    <a:prstGeom prst="rect">
                      <a:avLst/>
                    </a:prstGeom>
                  </pic:spPr>
                </pic:pic>
              </a:graphicData>
            </a:graphic>
          </wp:inline>
        </w:drawing>
      </w:r>
      <w:r>
        <w:rPr>
          <w:rFonts w:hint="eastAsia" w:ascii="方正小标宋简体" w:hAnsi="方正小标宋简体" w:eastAsia="方正小标宋简体" w:cs="方正小标宋简体"/>
          <w:b w:val="0"/>
          <w:bCs/>
          <w:sz w:val="40"/>
          <w:szCs w:val="40"/>
          <w:lang w:eastAsia="zh-CN"/>
        </w:rPr>
        <w:drawing>
          <wp:inline distT="0" distB="0" distL="114300" distR="114300">
            <wp:extent cx="5608320" cy="7934960"/>
            <wp:effectExtent l="0" t="0" r="11430" b="8890"/>
            <wp:docPr id="51" name="图片 51" descr="20220822114759777_00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descr="20220822114759777_0004"/>
                    <pic:cNvPicPr>
                      <a:picLocks noChangeAspect="true"/>
                    </pic:cNvPicPr>
                  </pic:nvPicPr>
                  <pic:blipFill>
                    <a:blip r:embed="rId28"/>
                    <a:stretch>
                      <a:fillRect/>
                    </a:stretch>
                  </pic:blipFill>
                  <pic:spPr>
                    <a:xfrm>
                      <a:off x="0" y="0"/>
                      <a:ext cx="5608320" cy="7934960"/>
                    </a:xfrm>
                    <a:prstGeom prst="rect">
                      <a:avLst/>
                    </a:prstGeom>
                  </pic:spPr>
                </pic:pic>
              </a:graphicData>
            </a:graphic>
          </wp:inline>
        </w:drawing>
      </w:r>
      <w:r>
        <w:rPr>
          <w:rFonts w:hint="eastAsia" w:ascii="方正小标宋简体" w:hAnsi="方正小标宋简体" w:eastAsia="方正小标宋简体" w:cs="方正小标宋简体"/>
          <w:b w:val="0"/>
          <w:bCs/>
          <w:sz w:val="40"/>
          <w:szCs w:val="40"/>
          <w:lang w:eastAsia="zh-CN"/>
        </w:rPr>
        <w:drawing>
          <wp:inline distT="0" distB="0" distL="114300" distR="114300">
            <wp:extent cx="5608320" cy="7934960"/>
            <wp:effectExtent l="0" t="0" r="11430" b="8890"/>
            <wp:docPr id="50" name="图片 50" descr="20220822114759777_00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20220822114759777_0005"/>
                    <pic:cNvPicPr>
                      <a:picLocks noChangeAspect="true"/>
                    </pic:cNvPicPr>
                  </pic:nvPicPr>
                  <pic:blipFill>
                    <a:blip r:embed="rId29"/>
                    <a:stretch>
                      <a:fillRect/>
                    </a:stretch>
                  </pic:blipFill>
                  <pic:spPr>
                    <a:xfrm>
                      <a:off x="0" y="0"/>
                      <a:ext cx="5608320" cy="7934960"/>
                    </a:xfrm>
                    <a:prstGeom prst="rect">
                      <a:avLst/>
                    </a:prstGeom>
                  </pic:spPr>
                </pic:pic>
              </a:graphicData>
            </a:graphic>
          </wp:inline>
        </w:drawing>
      </w:r>
      <w:r>
        <w:rPr>
          <w:rFonts w:hint="eastAsia" w:ascii="方正小标宋简体" w:hAnsi="方正小标宋简体" w:eastAsia="方正小标宋简体" w:cs="方正小标宋简体"/>
          <w:b w:val="0"/>
          <w:bCs/>
          <w:sz w:val="40"/>
          <w:szCs w:val="40"/>
          <w:lang w:eastAsia="zh-CN"/>
        </w:rPr>
        <w:drawing>
          <wp:inline distT="0" distB="0" distL="114300" distR="114300">
            <wp:extent cx="5608320" cy="7934960"/>
            <wp:effectExtent l="0" t="0" r="11430" b="8890"/>
            <wp:docPr id="49" name="图片 49" descr="20220822114759777_00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descr="20220822114759777_0006"/>
                    <pic:cNvPicPr>
                      <a:picLocks noChangeAspect="true"/>
                    </pic:cNvPicPr>
                  </pic:nvPicPr>
                  <pic:blipFill>
                    <a:blip r:embed="rId30"/>
                    <a:stretch>
                      <a:fillRect/>
                    </a:stretch>
                  </pic:blipFill>
                  <pic:spPr>
                    <a:xfrm>
                      <a:off x="0" y="0"/>
                      <a:ext cx="5608320" cy="7934960"/>
                    </a:xfrm>
                    <a:prstGeom prst="rect">
                      <a:avLst/>
                    </a:prstGeom>
                  </pic:spPr>
                </pic:pic>
              </a:graphicData>
            </a:graphic>
          </wp:inline>
        </w:drawing>
      </w:r>
      <w:r>
        <w:rPr>
          <w:rFonts w:hint="eastAsia" w:ascii="方正小标宋简体" w:hAnsi="方正小标宋简体" w:eastAsia="方正小标宋简体" w:cs="方正小标宋简体"/>
          <w:b w:val="0"/>
          <w:bCs/>
          <w:sz w:val="40"/>
          <w:szCs w:val="40"/>
          <w:lang w:eastAsia="zh-CN"/>
        </w:rPr>
        <w:drawing>
          <wp:inline distT="0" distB="0" distL="114300" distR="114300">
            <wp:extent cx="5608320" cy="7934960"/>
            <wp:effectExtent l="0" t="0" r="11430" b="8890"/>
            <wp:docPr id="48" name="图片 48" descr="20220822114759777_00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20220822114759777_0007"/>
                    <pic:cNvPicPr>
                      <a:picLocks noChangeAspect="true"/>
                    </pic:cNvPicPr>
                  </pic:nvPicPr>
                  <pic:blipFill>
                    <a:blip r:embed="rId31"/>
                    <a:stretch>
                      <a:fillRect/>
                    </a:stretch>
                  </pic:blipFill>
                  <pic:spPr>
                    <a:xfrm>
                      <a:off x="0" y="0"/>
                      <a:ext cx="5608320" cy="7934960"/>
                    </a:xfrm>
                    <a:prstGeom prst="rect">
                      <a:avLst/>
                    </a:prstGeom>
                  </pic:spPr>
                </pic:pic>
              </a:graphicData>
            </a:graphic>
          </wp:inline>
        </w:drawing>
      </w:r>
      <w:r>
        <w:rPr>
          <w:rFonts w:hint="eastAsia" w:ascii="方正小标宋简体" w:hAnsi="方正小标宋简体" w:eastAsia="方正小标宋简体" w:cs="方正小标宋简体"/>
          <w:b w:val="0"/>
          <w:bCs/>
          <w:sz w:val="40"/>
          <w:szCs w:val="40"/>
          <w:lang w:eastAsia="zh-CN"/>
        </w:rPr>
        <w:drawing>
          <wp:inline distT="0" distB="0" distL="114300" distR="114300">
            <wp:extent cx="5608320" cy="7934960"/>
            <wp:effectExtent l="0" t="0" r="11430" b="8890"/>
            <wp:docPr id="47" name="图片 47" descr="20220822114759777_00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20220822114759777_0008"/>
                    <pic:cNvPicPr>
                      <a:picLocks noChangeAspect="true"/>
                    </pic:cNvPicPr>
                  </pic:nvPicPr>
                  <pic:blipFill>
                    <a:blip r:embed="rId32"/>
                    <a:stretch>
                      <a:fillRect/>
                    </a:stretch>
                  </pic:blipFill>
                  <pic:spPr>
                    <a:xfrm>
                      <a:off x="0" y="0"/>
                      <a:ext cx="5608320" cy="7934960"/>
                    </a:xfrm>
                    <a:prstGeom prst="rect">
                      <a:avLst/>
                    </a:prstGeom>
                  </pic:spPr>
                </pic:pic>
              </a:graphicData>
            </a:graphic>
          </wp:inline>
        </w:drawing>
      </w:r>
      <w:r>
        <w:rPr>
          <w:rFonts w:hint="eastAsia" w:ascii="方正小标宋简体" w:hAnsi="方正小标宋简体" w:eastAsia="方正小标宋简体" w:cs="方正小标宋简体"/>
          <w:b w:val="0"/>
          <w:bCs/>
          <w:sz w:val="40"/>
          <w:szCs w:val="40"/>
          <w:lang w:eastAsia="zh-CN"/>
        </w:rPr>
        <w:drawing>
          <wp:inline distT="0" distB="0" distL="114300" distR="114300">
            <wp:extent cx="5608320" cy="7934960"/>
            <wp:effectExtent l="0" t="0" r="11430" b="8890"/>
            <wp:docPr id="46" name="图片 46" descr="20220822114759777_00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20220822114759777_0009"/>
                    <pic:cNvPicPr>
                      <a:picLocks noChangeAspect="true"/>
                    </pic:cNvPicPr>
                  </pic:nvPicPr>
                  <pic:blipFill>
                    <a:blip r:embed="rId33"/>
                    <a:stretch>
                      <a:fillRect/>
                    </a:stretch>
                  </pic:blipFill>
                  <pic:spPr>
                    <a:xfrm>
                      <a:off x="0" y="0"/>
                      <a:ext cx="5608320" cy="7934960"/>
                    </a:xfrm>
                    <a:prstGeom prst="rect">
                      <a:avLst/>
                    </a:prstGeom>
                  </pic:spPr>
                </pic:pic>
              </a:graphicData>
            </a:graphic>
          </wp:inline>
        </w:drawing>
      </w:r>
    </w:p>
    <w:sectPr>
      <w:footerReference r:id="rId5" w:type="default"/>
      <w:pgSz w:w="11907" w:h="16839"/>
      <w:pgMar w:top="2098" w:right="1474" w:bottom="1984" w:left="1587" w:header="720" w:footer="720"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ntury Gothic">
    <w:altName w:val="FreeSans"/>
    <w:panose1 w:val="020B0502020202020204"/>
    <w:charset w:val="00"/>
    <w:family w:val="swiss"/>
    <w:pitch w:val="default"/>
    <w:sig w:usb0="00000000" w:usb1="00000000" w:usb2="00000000" w:usb3="00000000" w:csb0="0000009F" w:csb1="0000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仿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FreeSans">
    <w:panose1 w:val="020B0504020202020204"/>
    <w:charset w:val="00"/>
    <w:family w:val="auto"/>
    <w:pitch w:val="default"/>
    <w:sig w:usb0="E4839EFF" w:usb1="4600FDFF" w:usb2="000030A0" w:usb3="00000584" w:csb0="600001BF" w:csb1="DFF7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方正仿宋简体" w:eastAsia="方正仿宋简体"/>
        <w:sz w:val="28"/>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6007124"/>
    </w:sdtPr>
    <w:sdtEndPr>
      <w:rPr>
        <w:rFonts w:eastAsia="方正仿宋简体"/>
        <w:sz w:val="24"/>
      </w:rPr>
    </w:sdtEndPr>
    <w:sdtContent>
      <w:p>
        <w:pPr>
          <w:pStyle w:val="10"/>
          <w:jc w:val="right"/>
          <w:rPr>
            <w:rFonts w:eastAsia="方正仿宋简体"/>
            <w:sz w:val="24"/>
          </w:rPr>
        </w:pPr>
        <w:r>
          <w:rPr>
            <w:rFonts w:eastAsia="方正仿宋简体"/>
            <w:sz w:val="24"/>
          </w:rPr>
          <w:fldChar w:fldCharType="begin"/>
        </w:r>
        <w:r>
          <w:rPr>
            <w:rFonts w:eastAsia="方正仿宋简体"/>
            <w:sz w:val="24"/>
          </w:rPr>
          <w:instrText xml:space="preserve">PAGE   \* MERGEFORMAT</w:instrText>
        </w:r>
        <w:r>
          <w:rPr>
            <w:rFonts w:eastAsia="方正仿宋简体"/>
            <w:sz w:val="24"/>
          </w:rPr>
          <w:fldChar w:fldCharType="separate"/>
        </w:r>
        <w:r>
          <w:rPr>
            <w:rFonts w:eastAsia="方正仿宋简体"/>
            <w:sz w:val="24"/>
            <w:lang w:val="zh-CN"/>
          </w:rPr>
          <w:t>-</w:t>
        </w:r>
        <w:r>
          <w:rPr>
            <w:rFonts w:eastAsia="方正仿宋简体"/>
            <w:sz w:val="24"/>
          </w:rPr>
          <w:t xml:space="preserve"> 15 -</w:t>
        </w:r>
        <w:r>
          <w:rPr>
            <w:rFonts w:eastAsia="方正仿宋简体"/>
            <w:sz w:val="24"/>
          </w:rPr>
          <w:fldChar w:fldCharType="end"/>
        </w:r>
      </w:p>
    </w:sdtContent>
  </w:sdt>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7960096"/>
    </w:sdtPr>
    <w:sdtEndPr>
      <w:rPr>
        <w:sz w:val="24"/>
        <w:szCs w:val="24"/>
      </w:rPr>
    </w:sdtEndPr>
    <w:sdtContent>
      <w:p>
        <w:pPr>
          <w:pStyle w:val="1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w:t>
        </w:r>
        <w:r>
          <w:rPr>
            <w:sz w:val="24"/>
            <w:szCs w:val="24"/>
          </w:rPr>
          <w:t xml:space="preserve"> 10 -</w:t>
        </w:r>
        <w:r>
          <w:rPr>
            <w:sz w:val="24"/>
            <w:szCs w:val="24"/>
          </w:rPr>
          <w:fldChar w:fldCharType="end"/>
        </w:r>
      </w:p>
    </w:sdtContent>
  </w:sdt>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true"/>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0B18"/>
    <w:rsid w:val="0002305A"/>
    <w:rsid w:val="000268C7"/>
    <w:rsid w:val="00030661"/>
    <w:rsid w:val="00043179"/>
    <w:rsid w:val="0004691E"/>
    <w:rsid w:val="000506AD"/>
    <w:rsid w:val="00053703"/>
    <w:rsid w:val="00056836"/>
    <w:rsid w:val="00082E91"/>
    <w:rsid w:val="00083C0A"/>
    <w:rsid w:val="00083EDB"/>
    <w:rsid w:val="00085E5B"/>
    <w:rsid w:val="00095A68"/>
    <w:rsid w:val="000A1166"/>
    <w:rsid w:val="000B7B19"/>
    <w:rsid w:val="000C5937"/>
    <w:rsid w:val="000D2CA3"/>
    <w:rsid w:val="000E657F"/>
    <w:rsid w:val="000F7DF6"/>
    <w:rsid w:val="00111581"/>
    <w:rsid w:val="001158F4"/>
    <w:rsid w:val="00120ECA"/>
    <w:rsid w:val="00123860"/>
    <w:rsid w:val="0013165E"/>
    <w:rsid w:val="00133775"/>
    <w:rsid w:val="001430E5"/>
    <w:rsid w:val="00144495"/>
    <w:rsid w:val="0014666C"/>
    <w:rsid w:val="0015184F"/>
    <w:rsid w:val="00151F4E"/>
    <w:rsid w:val="00162C31"/>
    <w:rsid w:val="00164CB8"/>
    <w:rsid w:val="00172A27"/>
    <w:rsid w:val="00177D04"/>
    <w:rsid w:val="001A4E71"/>
    <w:rsid w:val="001A5C19"/>
    <w:rsid w:val="001A699A"/>
    <w:rsid w:val="001B0489"/>
    <w:rsid w:val="001B378F"/>
    <w:rsid w:val="001B7CC2"/>
    <w:rsid w:val="001C52E7"/>
    <w:rsid w:val="001E60A8"/>
    <w:rsid w:val="001E6E4E"/>
    <w:rsid w:val="001F4283"/>
    <w:rsid w:val="001F5721"/>
    <w:rsid w:val="00226B9D"/>
    <w:rsid w:val="00227138"/>
    <w:rsid w:val="002306FB"/>
    <w:rsid w:val="00244DDE"/>
    <w:rsid w:val="00251722"/>
    <w:rsid w:val="00263B26"/>
    <w:rsid w:val="00266F41"/>
    <w:rsid w:val="00295896"/>
    <w:rsid w:val="002A1B85"/>
    <w:rsid w:val="002A4FBF"/>
    <w:rsid w:val="002C441C"/>
    <w:rsid w:val="002E1C64"/>
    <w:rsid w:val="002E2B5F"/>
    <w:rsid w:val="00307F10"/>
    <w:rsid w:val="00310D8B"/>
    <w:rsid w:val="0031172E"/>
    <w:rsid w:val="00316EDF"/>
    <w:rsid w:val="00320549"/>
    <w:rsid w:val="003240CC"/>
    <w:rsid w:val="00337062"/>
    <w:rsid w:val="00341721"/>
    <w:rsid w:val="00352F09"/>
    <w:rsid w:val="00364F7A"/>
    <w:rsid w:val="00375297"/>
    <w:rsid w:val="00376BC8"/>
    <w:rsid w:val="003775DB"/>
    <w:rsid w:val="003806F0"/>
    <w:rsid w:val="00382CAF"/>
    <w:rsid w:val="003933CB"/>
    <w:rsid w:val="003A00E3"/>
    <w:rsid w:val="003A3C26"/>
    <w:rsid w:val="003C0D8A"/>
    <w:rsid w:val="003D78A9"/>
    <w:rsid w:val="003E1F85"/>
    <w:rsid w:val="003F32DE"/>
    <w:rsid w:val="003F36CF"/>
    <w:rsid w:val="00407C8E"/>
    <w:rsid w:val="00413A5D"/>
    <w:rsid w:val="00417A7B"/>
    <w:rsid w:val="00421070"/>
    <w:rsid w:val="00421F3D"/>
    <w:rsid w:val="004242F6"/>
    <w:rsid w:val="00424A22"/>
    <w:rsid w:val="004319A8"/>
    <w:rsid w:val="00440276"/>
    <w:rsid w:val="00443776"/>
    <w:rsid w:val="00444F10"/>
    <w:rsid w:val="004543F9"/>
    <w:rsid w:val="00472560"/>
    <w:rsid w:val="00484BBE"/>
    <w:rsid w:val="00492B2C"/>
    <w:rsid w:val="00492F0D"/>
    <w:rsid w:val="0049419F"/>
    <w:rsid w:val="004A253F"/>
    <w:rsid w:val="004B0291"/>
    <w:rsid w:val="004B55CA"/>
    <w:rsid w:val="004C04FB"/>
    <w:rsid w:val="004C35C1"/>
    <w:rsid w:val="004C4322"/>
    <w:rsid w:val="004D1C23"/>
    <w:rsid w:val="004D22A9"/>
    <w:rsid w:val="004D5EB9"/>
    <w:rsid w:val="004D791F"/>
    <w:rsid w:val="004F00C4"/>
    <w:rsid w:val="00507343"/>
    <w:rsid w:val="00543EC8"/>
    <w:rsid w:val="00552A92"/>
    <w:rsid w:val="00554DCE"/>
    <w:rsid w:val="00572AE8"/>
    <w:rsid w:val="00575F59"/>
    <w:rsid w:val="005809A7"/>
    <w:rsid w:val="00581164"/>
    <w:rsid w:val="00583923"/>
    <w:rsid w:val="00590F59"/>
    <w:rsid w:val="00593B71"/>
    <w:rsid w:val="005A0E85"/>
    <w:rsid w:val="005A18B8"/>
    <w:rsid w:val="005A468C"/>
    <w:rsid w:val="005A6353"/>
    <w:rsid w:val="005A639B"/>
    <w:rsid w:val="005B0D7A"/>
    <w:rsid w:val="005B5005"/>
    <w:rsid w:val="005B5635"/>
    <w:rsid w:val="005C56FF"/>
    <w:rsid w:val="005D37A8"/>
    <w:rsid w:val="005E4AB6"/>
    <w:rsid w:val="005E65B6"/>
    <w:rsid w:val="005F7866"/>
    <w:rsid w:val="00621B21"/>
    <w:rsid w:val="00635E6D"/>
    <w:rsid w:val="006458A0"/>
    <w:rsid w:val="00647817"/>
    <w:rsid w:val="0065539C"/>
    <w:rsid w:val="006575F5"/>
    <w:rsid w:val="006714A1"/>
    <w:rsid w:val="006A039D"/>
    <w:rsid w:val="006B0BAA"/>
    <w:rsid w:val="006C1FA9"/>
    <w:rsid w:val="006C76F0"/>
    <w:rsid w:val="006D069B"/>
    <w:rsid w:val="006F46B7"/>
    <w:rsid w:val="007065EA"/>
    <w:rsid w:val="00707EF4"/>
    <w:rsid w:val="00715B73"/>
    <w:rsid w:val="00715E4E"/>
    <w:rsid w:val="007279F5"/>
    <w:rsid w:val="00727EA7"/>
    <w:rsid w:val="0074225E"/>
    <w:rsid w:val="00753E26"/>
    <w:rsid w:val="00756058"/>
    <w:rsid w:val="007576EC"/>
    <w:rsid w:val="00765239"/>
    <w:rsid w:val="00765FF6"/>
    <w:rsid w:val="007707CD"/>
    <w:rsid w:val="007726B8"/>
    <w:rsid w:val="00775BE1"/>
    <w:rsid w:val="00785B55"/>
    <w:rsid w:val="00785E09"/>
    <w:rsid w:val="00787127"/>
    <w:rsid w:val="0078799B"/>
    <w:rsid w:val="007A0092"/>
    <w:rsid w:val="007B0253"/>
    <w:rsid w:val="007B29A0"/>
    <w:rsid w:val="007D2DEA"/>
    <w:rsid w:val="007E1227"/>
    <w:rsid w:val="007E3CEF"/>
    <w:rsid w:val="007E5679"/>
    <w:rsid w:val="007E5725"/>
    <w:rsid w:val="007F2B89"/>
    <w:rsid w:val="007F6CCD"/>
    <w:rsid w:val="008212F7"/>
    <w:rsid w:val="00824978"/>
    <w:rsid w:val="0083064E"/>
    <w:rsid w:val="00832A49"/>
    <w:rsid w:val="00845F98"/>
    <w:rsid w:val="00856DCA"/>
    <w:rsid w:val="00861C47"/>
    <w:rsid w:val="00893C59"/>
    <w:rsid w:val="00893DA6"/>
    <w:rsid w:val="008B203E"/>
    <w:rsid w:val="008B365D"/>
    <w:rsid w:val="008B4371"/>
    <w:rsid w:val="008E4259"/>
    <w:rsid w:val="008F35DE"/>
    <w:rsid w:val="009033B5"/>
    <w:rsid w:val="009069E8"/>
    <w:rsid w:val="00920016"/>
    <w:rsid w:val="00925074"/>
    <w:rsid w:val="009333CB"/>
    <w:rsid w:val="00945979"/>
    <w:rsid w:val="00951AEE"/>
    <w:rsid w:val="0095241C"/>
    <w:rsid w:val="00956FCC"/>
    <w:rsid w:val="0096344E"/>
    <w:rsid w:val="00963AA6"/>
    <w:rsid w:val="00964F84"/>
    <w:rsid w:val="0096776D"/>
    <w:rsid w:val="00986C2C"/>
    <w:rsid w:val="009940D6"/>
    <w:rsid w:val="009A34CB"/>
    <w:rsid w:val="009B74BB"/>
    <w:rsid w:val="009C12B1"/>
    <w:rsid w:val="009C42AD"/>
    <w:rsid w:val="009D137D"/>
    <w:rsid w:val="00A03B67"/>
    <w:rsid w:val="00A10112"/>
    <w:rsid w:val="00A12AD1"/>
    <w:rsid w:val="00A26445"/>
    <w:rsid w:val="00A33B7C"/>
    <w:rsid w:val="00A34F5F"/>
    <w:rsid w:val="00A37C05"/>
    <w:rsid w:val="00A43509"/>
    <w:rsid w:val="00A51DD5"/>
    <w:rsid w:val="00A56344"/>
    <w:rsid w:val="00A83BDD"/>
    <w:rsid w:val="00A87F80"/>
    <w:rsid w:val="00A9224B"/>
    <w:rsid w:val="00A96034"/>
    <w:rsid w:val="00AA7199"/>
    <w:rsid w:val="00AB103F"/>
    <w:rsid w:val="00AB1CBB"/>
    <w:rsid w:val="00AC5316"/>
    <w:rsid w:val="00AC7294"/>
    <w:rsid w:val="00AC7C2A"/>
    <w:rsid w:val="00AD0AFF"/>
    <w:rsid w:val="00AD6B3E"/>
    <w:rsid w:val="00AD7BFC"/>
    <w:rsid w:val="00AE4287"/>
    <w:rsid w:val="00AF2CEE"/>
    <w:rsid w:val="00B02476"/>
    <w:rsid w:val="00B04C40"/>
    <w:rsid w:val="00B0510A"/>
    <w:rsid w:val="00B133DD"/>
    <w:rsid w:val="00B202DC"/>
    <w:rsid w:val="00B244C8"/>
    <w:rsid w:val="00B24994"/>
    <w:rsid w:val="00B26D0D"/>
    <w:rsid w:val="00B476EC"/>
    <w:rsid w:val="00B618E0"/>
    <w:rsid w:val="00B70991"/>
    <w:rsid w:val="00B832EB"/>
    <w:rsid w:val="00B924D9"/>
    <w:rsid w:val="00BA2BDA"/>
    <w:rsid w:val="00BA5FC4"/>
    <w:rsid w:val="00BA64F5"/>
    <w:rsid w:val="00BA7B42"/>
    <w:rsid w:val="00BB1645"/>
    <w:rsid w:val="00BC4452"/>
    <w:rsid w:val="00BC6222"/>
    <w:rsid w:val="00BF6BAC"/>
    <w:rsid w:val="00C074D0"/>
    <w:rsid w:val="00C14C89"/>
    <w:rsid w:val="00C27FD4"/>
    <w:rsid w:val="00C326D7"/>
    <w:rsid w:val="00C61BFB"/>
    <w:rsid w:val="00C70351"/>
    <w:rsid w:val="00C749A0"/>
    <w:rsid w:val="00C8000C"/>
    <w:rsid w:val="00C85BAE"/>
    <w:rsid w:val="00C87F2C"/>
    <w:rsid w:val="00C92B86"/>
    <w:rsid w:val="00CA6ED1"/>
    <w:rsid w:val="00CC1DBC"/>
    <w:rsid w:val="00CC3012"/>
    <w:rsid w:val="00CD5EDA"/>
    <w:rsid w:val="00CD6630"/>
    <w:rsid w:val="00CD705C"/>
    <w:rsid w:val="00CD7925"/>
    <w:rsid w:val="00CE18E3"/>
    <w:rsid w:val="00CF009A"/>
    <w:rsid w:val="00CF0F1C"/>
    <w:rsid w:val="00CF32B4"/>
    <w:rsid w:val="00CF4467"/>
    <w:rsid w:val="00D0109B"/>
    <w:rsid w:val="00D027F7"/>
    <w:rsid w:val="00D033CF"/>
    <w:rsid w:val="00D0558A"/>
    <w:rsid w:val="00D05CD0"/>
    <w:rsid w:val="00D1710F"/>
    <w:rsid w:val="00D17C99"/>
    <w:rsid w:val="00D204B3"/>
    <w:rsid w:val="00D30608"/>
    <w:rsid w:val="00D376F3"/>
    <w:rsid w:val="00D53C0C"/>
    <w:rsid w:val="00D630CC"/>
    <w:rsid w:val="00D636B0"/>
    <w:rsid w:val="00D63DDD"/>
    <w:rsid w:val="00D708D3"/>
    <w:rsid w:val="00D712EF"/>
    <w:rsid w:val="00D80C3B"/>
    <w:rsid w:val="00D83C94"/>
    <w:rsid w:val="00D85DDD"/>
    <w:rsid w:val="00D971CD"/>
    <w:rsid w:val="00DB634B"/>
    <w:rsid w:val="00DD3A01"/>
    <w:rsid w:val="00DE0B8F"/>
    <w:rsid w:val="00E05D3E"/>
    <w:rsid w:val="00E16437"/>
    <w:rsid w:val="00E17E88"/>
    <w:rsid w:val="00E21808"/>
    <w:rsid w:val="00E21F45"/>
    <w:rsid w:val="00E45705"/>
    <w:rsid w:val="00E51902"/>
    <w:rsid w:val="00E54240"/>
    <w:rsid w:val="00E837BF"/>
    <w:rsid w:val="00E90644"/>
    <w:rsid w:val="00EA6296"/>
    <w:rsid w:val="00EB1733"/>
    <w:rsid w:val="00ED57B5"/>
    <w:rsid w:val="00EF2C22"/>
    <w:rsid w:val="00F04867"/>
    <w:rsid w:val="00F07A41"/>
    <w:rsid w:val="00F103BA"/>
    <w:rsid w:val="00F10E5A"/>
    <w:rsid w:val="00F1321B"/>
    <w:rsid w:val="00F13BB7"/>
    <w:rsid w:val="00F14258"/>
    <w:rsid w:val="00F2571F"/>
    <w:rsid w:val="00F273EF"/>
    <w:rsid w:val="00F2788E"/>
    <w:rsid w:val="00F36E31"/>
    <w:rsid w:val="00F40CA5"/>
    <w:rsid w:val="00F606E3"/>
    <w:rsid w:val="00F7049D"/>
    <w:rsid w:val="00F84EF8"/>
    <w:rsid w:val="00F8528A"/>
    <w:rsid w:val="00F95FF3"/>
    <w:rsid w:val="00F9659B"/>
    <w:rsid w:val="00FA14EC"/>
    <w:rsid w:val="00FD04FA"/>
    <w:rsid w:val="00FD0DF4"/>
    <w:rsid w:val="00FE1693"/>
    <w:rsid w:val="00FE3A67"/>
    <w:rsid w:val="00FE7080"/>
    <w:rsid w:val="00FF0690"/>
    <w:rsid w:val="01FC3A7A"/>
    <w:rsid w:val="1186324A"/>
    <w:rsid w:val="145B692A"/>
    <w:rsid w:val="1D1E1419"/>
    <w:rsid w:val="1DD5E902"/>
    <w:rsid w:val="1FBB270A"/>
    <w:rsid w:val="215C5B90"/>
    <w:rsid w:val="26330956"/>
    <w:rsid w:val="26C26D7A"/>
    <w:rsid w:val="27F7BDE4"/>
    <w:rsid w:val="291C6F01"/>
    <w:rsid w:val="2AA24B25"/>
    <w:rsid w:val="2EAFC313"/>
    <w:rsid w:val="2F1FF28A"/>
    <w:rsid w:val="31F7EC92"/>
    <w:rsid w:val="37AE62C1"/>
    <w:rsid w:val="37FFE068"/>
    <w:rsid w:val="382566E9"/>
    <w:rsid w:val="3CF9D554"/>
    <w:rsid w:val="3DCC6681"/>
    <w:rsid w:val="3E84342E"/>
    <w:rsid w:val="41284588"/>
    <w:rsid w:val="46B05044"/>
    <w:rsid w:val="4AFF3E92"/>
    <w:rsid w:val="4BFEB6C4"/>
    <w:rsid w:val="509A3EFD"/>
    <w:rsid w:val="557653D0"/>
    <w:rsid w:val="567F36D7"/>
    <w:rsid w:val="56DF31CE"/>
    <w:rsid w:val="577FE625"/>
    <w:rsid w:val="59D67A4A"/>
    <w:rsid w:val="5B67D9DE"/>
    <w:rsid w:val="5B8E3CBE"/>
    <w:rsid w:val="5DCDF2AF"/>
    <w:rsid w:val="5EF6C120"/>
    <w:rsid w:val="60FC207D"/>
    <w:rsid w:val="62135001"/>
    <w:rsid w:val="63F6E315"/>
    <w:rsid w:val="6B7B36E5"/>
    <w:rsid w:val="6DAFB64B"/>
    <w:rsid w:val="6E5E05C7"/>
    <w:rsid w:val="6F402B91"/>
    <w:rsid w:val="6FFF4AB8"/>
    <w:rsid w:val="730666C3"/>
    <w:rsid w:val="74F03292"/>
    <w:rsid w:val="76EBFF93"/>
    <w:rsid w:val="7837B84C"/>
    <w:rsid w:val="79FF3494"/>
    <w:rsid w:val="7AFF6235"/>
    <w:rsid w:val="7B1F3E05"/>
    <w:rsid w:val="7B5FEE19"/>
    <w:rsid w:val="7DBBB1D2"/>
    <w:rsid w:val="7F8F662C"/>
    <w:rsid w:val="7FEB896C"/>
    <w:rsid w:val="AEC70E08"/>
    <w:rsid w:val="BD779105"/>
    <w:rsid w:val="BDCEF9BB"/>
    <w:rsid w:val="BEBFB919"/>
    <w:rsid w:val="BF9E05F2"/>
    <w:rsid w:val="BFFDE0F5"/>
    <w:rsid w:val="C7B3770F"/>
    <w:rsid w:val="D63F11A8"/>
    <w:rsid w:val="D6FAA3F7"/>
    <w:rsid w:val="D7FF308C"/>
    <w:rsid w:val="DF3F2A49"/>
    <w:rsid w:val="DFED724F"/>
    <w:rsid w:val="E7DFA1EC"/>
    <w:rsid w:val="EEFF622E"/>
    <w:rsid w:val="F3EE9AB4"/>
    <w:rsid w:val="F679CC60"/>
    <w:rsid w:val="FA2F599F"/>
    <w:rsid w:val="FDFB5FDA"/>
    <w:rsid w:val="FE9FC317"/>
    <w:rsid w:val="FFF70212"/>
    <w:rsid w:val="FFF73E6E"/>
    <w:rsid w:val="FFFF3080"/>
    <w:rsid w:val="FFFFEC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0"/>
    <w:qFormat/>
    <w:uiPriority w:val="0"/>
    <w:pPr>
      <w:keepNext/>
      <w:keepLines/>
      <w:outlineLvl w:val="1"/>
    </w:pPr>
    <w:rPr>
      <w:rFonts w:ascii="Arial" w:hAnsi="Arial"/>
      <w:b/>
      <w:kern w:val="44"/>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qFormat/>
    <w:uiPriority w:val="0"/>
    <w:pPr>
      <w:ind w:firstLine="420"/>
    </w:pPr>
  </w:style>
  <w:style w:type="paragraph" w:styleId="5">
    <w:name w:val="Normal Indent"/>
    <w:basedOn w:val="1"/>
    <w:qFormat/>
    <w:uiPriority w:val="99"/>
    <w:pPr>
      <w:widowControl w:val="0"/>
      <w:ind w:firstLine="420"/>
    </w:pPr>
    <w:rPr>
      <w:rFonts w:ascii="Times New Roman" w:hAnsi="Times New Roman"/>
      <w:szCs w:val="20"/>
    </w:rPr>
  </w:style>
  <w:style w:type="paragraph" w:styleId="6">
    <w:name w:val="caption"/>
    <w:basedOn w:val="1"/>
    <w:next w:val="1"/>
    <w:semiHidden/>
    <w:unhideWhenUsed/>
    <w:qFormat/>
    <w:uiPriority w:val="0"/>
    <w:rPr>
      <w:rFonts w:ascii="Arial" w:hAnsi="Arial" w:eastAsia="黑体"/>
      <w:sz w:val="20"/>
    </w:rPr>
  </w:style>
  <w:style w:type="paragraph" w:styleId="7">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8">
    <w:name w:val="Body Text Indent 2"/>
    <w:basedOn w:val="1"/>
    <w:qFormat/>
    <w:uiPriority w:val="0"/>
    <w:pPr>
      <w:widowControl w:val="0"/>
      <w:spacing w:after="120" w:line="480" w:lineRule="auto"/>
      <w:ind w:left="420" w:leftChars="200"/>
    </w:pPr>
    <w:rPr>
      <w:rFonts w:ascii="Times New Roman" w:hAnsi="Times New Roman"/>
      <w:kern w:val="0"/>
      <w:sz w:val="24"/>
    </w:rPr>
  </w:style>
  <w:style w:type="paragraph" w:styleId="9">
    <w:name w:val="Balloon Text"/>
    <w:basedOn w:val="1"/>
    <w:link w:val="21"/>
    <w:qFormat/>
    <w:uiPriority w:val="0"/>
    <w:rPr>
      <w:sz w:val="18"/>
      <w:szCs w:val="18"/>
    </w:rPr>
  </w:style>
  <w:style w:type="paragraph" w:styleId="10">
    <w:name w:val="footer"/>
    <w:basedOn w:val="1"/>
    <w:link w:val="24"/>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rPr>
      <w:rFonts w:ascii="Calibri" w:hAnsi="Calibri"/>
      <w:szCs w:val="21"/>
    </w:rPr>
  </w:style>
  <w:style w:type="paragraph" w:styleId="13">
    <w:name w:val="toc 2"/>
    <w:basedOn w:val="1"/>
    <w:next w:val="1"/>
    <w:qFormat/>
    <w:uiPriority w:val="39"/>
    <w:pPr>
      <w:ind w:left="420" w:leftChars="200"/>
    </w:pPr>
    <w:rPr>
      <w:rFonts w:ascii="Calibri" w:hAnsi="Calibri"/>
      <w:szCs w:val="21"/>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qFormat/>
    <w:uiPriority w:val="0"/>
    <w:rPr>
      <w:color w:val="FF79C2" w:themeColor="followedHyperlink"/>
      <w:u w:val="single"/>
      <w14:textFill>
        <w14:solidFill>
          <w14:schemeClr w14:val="folHlink"/>
        </w14:solidFill>
      </w14:textFill>
    </w:rPr>
  </w:style>
  <w:style w:type="character" w:styleId="19">
    <w:name w:val="Hyperlink"/>
    <w:basedOn w:val="17"/>
    <w:qFormat/>
    <w:uiPriority w:val="0"/>
    <w:rPr>
      <w:color w:val="0000FF"/>
      <w:u w:val="single"/>
    </w:rPr>
  </w:style>
  <w:style w:type="paragraph" w:customStyle="1" w:styleId="20">
    <w:name w:val="无间隔1"/>
    <w:qFormat/>
    <w:uiPriority w:val="0"/>
    <w:rPr>
      <w:rFonts w:ascii="Times New Roman" w:hAnsi="Times New Roman" w:eastAsia="宋体" w:cs="Times New Roman"/>
      <w:sz w:val="22"/>
      <w:lang w:val="en-US" w:eastAsia="zh-CN" w:bidi="ar-SA"/>
    </w:rPr>
  </w:style>
  <w:style w:type="character" w:customStyle="1" w:styleId="21">
    <w:name w:val="批注框文本 Char"/>
    <w:basedOn w:val="17"/>
    <w:link w:val="9"/>
    <w:qFormat/>
    <w:uiPriority w:val="0"/>
    <w:rPr>
      <w:kern w:val="2"/>
      <w:sz w:val="18"/>
      <w:szCs w:val="18"/>
    </w:rPr>
  </w:style>
  <w:style w:type="character" w:customStyle="1" w:styleId="22">
    <w:name w:val="无间隔 Char"/>
    <w:link w:val="23"/>
    <w:qFormat/>
    <w:uiPriority w:val="0"/>
    <w:rPr>
      <w:rFonts w:ascii="Calibri" w:hAnsi="Calibri"/>
      <w:sz w:val="22"/>
      <w:szCs w:val="22"/>
    </w:rPr>
  </w:style>
  <w:style w:type="paragraph" w:styleId="23">
    <w:name w:val="No Spacing"/>
    <w:link w:val="22"/>
    <w:qFormat/>
    <w:uiPriority w:val="0"/>
    <w:rPr>
      <w:rFonts w:ascii="Calibri" w:hAnsi="Calibri" w:eastAsia="宋体" w:cs="Times New Roman"/>
      <w:sz w:val="22"/>
      <w:szCs w:val="22"/>
      <w:lang w:val="en-US" w:eastAsia="zh-CN" w:bidi="ar-SA"/>
    </w:rPr>
  </w:style>
  <w:style w:type="character" w:customStyle="1" w:styleId="24">
    <w:name w:val="页脚 Char"/>
    <w:basedOn w:val="17"/>
    <w:link w:val="10"/>
    <w:qFormat/>
    <w:uiPriority w:val="99"/>
    <w:rPr>
      <w:kern w:val="2"/>
      <w:sz w:val="18"/>
    </w:rPr>
  </w:style>
  <w:style w:type="character" w:customStyle="1" w:styleId="25">
    <w:name w:val="标题 1 Char"/>
    <w:basedOn w:val="17"/>
    <w:link w:val="3"/>
    <w:qFormat/>
    <w:uiPriority w:val="0"/>
    <w:rPr>
      <w:b/>
      <w:bCs/>
      <w:kern w:val="44"/>
      <w:sz w:val="44"/>
      <w:szCs w:val="44"/>
    </w:rPr>
  </w:style>
  <w:style w:type="paragraph" w:customStyle="1" w:styleId="26">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E90062" w:themeColor="accent1" w:themeShade="BF"/>
      <w:kern w:val="0"/>
      <w:sz w:val="28"/>
      <w:szCs w:val="28"/>
    </w:rPr>
  </w:style>
  <w:style w:type="paragraph" w:customStyle="1" w:styleId="2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8">
    <w:name w:val="正文1 Char"/>
    <w:basedOn w:val="17"/>
    <w:link w:val="29"/>
    <w:qFormat/>
    <w:locked/>
    <w:uiPriority w:val="0"/>
    <w:rPr>
      <w:rFonts w:ascii="宋体" w:hAnsi="宋体" w:eastAsia="仿宋_GB2312"/>
      <w:spacing w:val="6"/>
      <w:sz w:val="30"/>
      <w:szCs w:val="24"/>
    </w:rPr>
  </w:style>
  <w:style w:type="paragraph" w:customStyle="1" w:styleId="29">
    <w:name w:val="正文1"/>
    <w:basedOn w:val="1"/>
    <w:link w:val="28"/>
    <w:qFormat/>
    <w:uiPriority w:val="0"/>
    <w:pPr>
      <w:autoSpaceDE w:val="0"/>
      <w:autoSpaceDN w:val="0"/>
      <w:adjustRightInd w:val="0"/>
      <w:snapToGrid w:val="0"/>
      <w:spacing w:line="600" w:lineRule="exact"/>
      <w:ind w:firstLine="624" w:firstLineChars="200"/>
    </w:pPr>
    <w:rPr>
      <w:rFonts w:ascii="宋体" w:hAnsi="宋体" w:eastAsia="仿宋_GB2312"/>
      <w:spacing w:val="6"/>
      <w:kern w:val="0"/>
      <w:sz w:val="30"/>
      <w:szCs w:val="24"/>
    </w:rPr>
  </w:style>
  <w:style w:type="character" w:customStyle="1" w:styleId="30">
    <w:name w:val="标题 2 Char"/>
    <w:basedOn w:val="17"/>
    <w:link w:val="4"/>
    <w:qFormat/>
    <w:uiPriority w:val="0"/>
    <w:rPr>
      <w:rFonts w:hint="default" w:ascii="Arial" w:hAnsi="Arial" w:cs="Arial"/>
      <w:b/>
      <w:kern w:val="44"/>
      <w:sz w:val="21"/>
      <w:szCs w:val="32"/>
    </w:rPr>
  </w:style>
  <w:style w:type="table" w:customStyle="1" w:styleId="31">
    <w:name w:val="无格式表格 11"/>
    <w:basedOn w:val="15"/>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chart" Target="charts/chart6.xml"/><Relationship Id="rId23" Type="http://schemas.openxmlformats.org/officeDocument/2006/relationships/chart" Target="charts/chart5.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3.emf"/><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oleObject" Target="file:///E:\14.&#20915;&#31639;&#20844;&#24320;\&#25991;&#26723;&#20351;&#29992;&#34920;&#2668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ome/kylin/&#26700;&#38754;/2021&#24180;&#24230;&#37096;&#38376;&#20915;&#31639;&#20844;&#24320;&#24773;&#20917;&#32479;&#35745;&#34920;/&#25552;&#20379;&#32473;&#20013;&#22830;&#37096;&#38376;&#30340;2021&#24180;&#24230;&#20915;&#31639;&#20844;&#24320;&#24037;&#20316;&#21442;&#32771;&#36164;&#26009;/1.2021&#24180;&#24230;&#20013;&#22830;&#37096;&#38376;&#20915;&#31639;&#20844;&#24320;&#24037;&#20316;&#26041;&#26696;/&#25991;&#26723;&#20351;&#29992;&#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chemeClr val="tx1">
                    <a:lumMod val="65000"/>
                    <a:lumOff val="35000"/>
                  </a:schemeClr>
                </a:solidFill>
                <a:latin typeface="+mn-lt"/>
                <a:ea typeface="+mn-ea"/>
                <a:cs typeface="+mn-cs"/>
              </a:defRPr>
            </a:pPr>
            <a:r>
              <a:t>收支合计</a:t>
            </a:r>
          </a:p>
        </c:rich>
      </c:tx>
      <c:layout/>
      <c:overlay val="false"/>
      <c:spPr>
        <a:noFill/>
        <a:ln>
          <a:noFill/>
        </a:ln>
        <a:effectLst/>
      </c:spPr>
    </c:title>
    <c:autoTitleDeleted val="false"/>
    <c:plotArea>
      <c:layout/>
      <c:barChart>
        <c:barDir val="col"/>
        <c:grouping val="clustered"/>
        <c:varyColors val="false"/>
        <c:ser>
          <c:idx val="0"/>
          <c:order val="0"/>
          <c:tx>
            <c:strRef>
              <c:f>Sheet1!$B$1</c:f>
              <c:strCache>
                <c:ptCount val="1"/>
                <c:pt idx="0">
                  <c:v>2020年度</c:v>
                </c:pt>
              </c:strCache>
            </c:strRef>
          </c:tx>
          <c:spPr>
            <a:solidFill>
              <a:schemeClr val="accent1"/>
            </a:solidFill>
            <a:ln>
              <a:noFill/>
            </a:ln>
            <a:effectLst/>
          </c:spPr>
          <c:invertIfNegative val="false"/>
          <c:dLbls>
            <c:delete val="true"/>
          </c:dLbls>
          <c:cat>
            <c:strRef>
              <c:f>Sheet1!$A$2</c:f>
              <c:strCache>
                <c:ptCount val="1"/>
                <c:pt idx="0">
                  <c:v>金额</c:v>
                </c:pt>
              </c:strCache>
            </c:strRef>
          </c:cat>
          <c:val>
            <c:numRef>
              <c:f>Sheet1!$B$2</c:f>
              <c:numCache>
                <c:formatCode>#,##0.00</c:formatCode>
                <c:ptCount val="1"/>
                <c:pt idx="0">
                  <c:v>113403.87</c:v>
                </c:pt>
              </c:numCache>
            </c:numRef>
          </c:val>
        </c:ser>
        <c:ser>
          <c:idx val="1"/>
          <c:order val="1"/>
          <c:tx>
            <c:strRef>
              <c:f>Sheet1!$C$1</c:f>
              <c:strCache>
                <c:ptCount val="1"/>
                <c:pt idx="0">
                  <c:v>2021年</c:v>
                </c:pt>
              </c:strCache>
            </c:strRef>
          </c:tx>
          <c:spPr>
            <a:solidFill>
              <a:schemeClr val="accent2"/>
            </a:solidFill>
            <a:ln>
              <a:noFill/>
            </a:ln>
            <a:effectLst/>
          </c:spPr>
          <c:invertIfNegative val="false"/>
          <c:dLbls>
            <c:delete val="true"/>
          </c:dLbls>
          <c:cat>
            <c:strRef>
              <c:f>Sheet1!$A$2</c:f>
              <c:strCache>
                <c:ptCount val="1"/>
                <c:pt idx="0">
                  <c:v>金额</c:v>
                </c:pt>
              </c:strCache>
            </c:strRef>
          </c:cat>
          <c:val>
            <c:numRef>
              <c:f>Sheet1!$C$2</c:f>
              <c:numCache>
                <c:formatCode>#,##0.00</c:formatCode>
                <c:ptCount val="1"/>
                <c:pt idx="0">
                  <c:v>124625.18</c:v>
                </c:pt>
              </c:numCache>
            </c:numRef>
          </c:val>
        </c:ser>
        <c:ser>
          <c:idx val="2"/>
          <c:order val="2"/>
          <c:tx>
            <c:strRef>
              <c:f>Sheet1!#REF!</c:f>
              <c:strCache>
                <c:ptCount val="1"/>
                <c:pt idx="0">
                  <c:v/>
                </c:pt>
              </c:strCache>
            </c:strRef>
          </c:tx>
          <c:spPr>
            <a:solidFill>
              <a:schemeClr val="accent3"/>
            </a:solidFill>
            <a:ln>
              <a:noFill/>
            </a:ln>
            <a:effectLst/>
          </c:spPr>
          <c:invertIfNegative val="false"/>
          <c:dLbls>
            <c:delete val="true"/>
          </c:dLbls>
          <c:cat>
            <c:strRef>
              <c:f>Sheet1!$A$2</c:f>
              <c:strCache>
                <c:ptCount val="1"/>
                <c:pt idx="0">
                  <c:v>金额</c:v>
                </c:pt>
              </c:strCache>
            </c:strRef>
          </c:cat>
          <c:val>
            <c:numRef>
              <c:f>Sheet1!#REF!</c:f>
              <c:numCache>
                <c:formatCode>General</c:formatCode>
                <c:ptCount val="1"/>
                <c:pt idx="0">
                  <c:v>1</c:v>
                </c:pt>
              </c:numCache>
            </c:numRef>
          </c:val>
        </c:ser>
        <c:dLbls>
          <c:showLegendKey val="false"/>
          <c:showVal val="false"/>
          <c:showCatName val="false"/>
          <c:showSerName val="false"/>
          <c:showPercent val="false"/>
          <c:showBubbleSize val="false"/>
        </c:dLbls>
        <c:gapWidth val="219"/>
        <c:overlap val="-27"/>
        <c:axId val="267416191"/>
        <c:axId val="165429282"/>
      </c:barChart>
      <c:catAx>
        <c:axId val="267416191"/>
        <c:scaling>
          <c:orientation val="minMax"/>
        </c:scaling>
        <c:delete val="false"/>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65429282"/>
        <c:crosses val="autoZero"/>
        <c:auto val="true"/>
        <c:lblAlgn val="ctr"/>
        <c:lblOffset val="100"/>
        <c:noMultiLvlLbl val="false"/>
      </c:catAx>
      <c:valAx>
        <c:axId val="165429282"/>
        <c:scaling>
          <c:orientation val="minMax"/>
        </c:scaling>
        <c:delete val="false"/>
        <c:axPos val="l"/>
        <c:majorGridlines>
          <c:spPr>
            <a:ln w="9525" cap="flat" cmpd="sng" algn="ctr">
              <a:solidFill>
                <a:schemeClr val="tx1">
                  <a:lumMod val="15000"/>
                  <a:lumOff val="85000"/>
                </a:schemeClr>
              </a:solidFill>
              <a:round/>
            </a:ln>
            <a:effectLst/>
          </c:spPr>
        </c:majorGridlines>
        <c:numFmt formatCode="#,##0.00"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267416191"/>
        <c:crosses val="autoZero"/>
        <c:crossBetween val="between"/>
      </c:valAx>
      <c:spPr>
        <a:noFill/>
        <a:ln>
          <a:noFill/>
        </a:ln>
        <a:effectLst/>
      </c:spPr>
    </c:plotArea>
    <c:legend>
      <c:legendPos val="b"/>
      <c:legendEntry>
        <c:idx val="2"/>
        <c:delete val="true"/>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layout/>
      <c:overlay val="false"/>
      <c:spPr>
        <a:noFill/>
        <a:ln>
          <a:noFill/>
        </a:ln>
        <a:effectLst/>
      </c:spPr>
      <c:txPr>
        <a:bodyPr rot="0" spcFirstLastPara="0" vertOverflow="ellipsis" vert="horz" wrap="square" anchor="ctr" anchorCtr="true"/>
        <a:lstStyle/>
        <a:p>
          <a:pPr>
            <a:defRPr lang="zh-CN" sz="1800" b="1" i="0" u="none" strike="noStrike" kern="1200" baseline="0">
              <a:solidFill>
                <a:schemeClr val="dk1">
                  <a:lumMod val="75000"/>
                  <a:lumOff val="25000"/>
                </a:schemeClr>
              </a:solidFill>
              <a:latin typeface="+mn-lt"/>
              <a:ea typeface="+mn-ea"/>
              <a:cs typeface="+mn-cs"/>
            </a:defRPr>
          </a:pPr>
        </a:p>
      </c:txPr>
    </c:title>
    <c:autoTitleDeleted val="false"/>
    <c:plotArea>
      <c:layout/>
      <c:pieChart>
        <c:varyColors val="true"/>
        <c:ser>
          <c:idx val="0"/>
          <c:order val="0"/>
          <c:tx>
            <c:strRef>
              <c:f>Sheet1!$B$1</c:f>
              <c:strCache>
                <c:ptCount val="1"/>
                <c:pt idx="0">
                  <c:v>收入合计</c:v>
                </c:pt>
              </c:strCache>
            </c:strRef>
          </c:tx>
          <c:spPr/>
          <c:explosion val="0"/>
          <c:dPt>
            <c:idx val="0"/>
            <c:bubble3D val="false"/>
            <c:spPr>
              <a:solidFill>
                <a:schemeClr val="accent1"/>
              </a:solidFill>
              <a:ln>
                <a:noFill/>
              </a:ln>
              <a:effectLst>
                <a:outerShdw blurRad="254000" sx="102000" sy="102000" algn="ctr" rotWithShape="0">
                  <a:prstClr val="black">
                    <a:alpha val="20000"/>
                  </a:prstClr>
                </a:outerShdw>
              </a:effectLst>
            </c:spPr>
          </c:dPt>
          <c:dPt>
            <c:idx val="1"/>
            <c:bubble3D val="false"/>
            <c:spPr>
              <a:solidFill>
                <a:schemeClr val="accent2"/>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true"/>
                  <a:lstStyle/>
                  <a:p>
                    <a:pPr defTabSz="914400">
                      <a:defRPr lang="zh-CN" sz="1000" b="1" i="0" u="none" strike="noStrike" kern="1200" baseline="0">
                        <a:solidFill>
                          <a:schemeClr val="lt1"/>
                        </a:solidFill>
                        <a:latin typeface="+mn-lt"/>
                        <a:ea typeface="+mn-ea"/>
                        <a:cs typeface="+mn-cs"/>
                      </a:defRPr>
                    </a:pPr>
                    <a:r>
                      <a:t>6</a:t>
                    </a:r>
                    <a:r>
                      <a:rPr lang="en-US" altLang="zh-CN"/>
                      <a:t>2.78</a:t>
                    </a:r>
                    <a:r>
                      <a:t>%</a:t>
                    </a:r>
                  </a:p>
                </c:rich>
              </c:tx>
              <c:dLblPos val="ctr"/>
              <c:showLegendKey val="false"/>
              <c:showVal val="false"/>
              <c:showCatName val="false"/>
              <c:showSerName val="false"/>
              <c:showPercent val="true"/>
              <c:showBubbleSize val="false"/>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true"/>
                  <a:lstStyle/>
                  <a:p>
                    <a:pPr defTabSz="914400">
                      <a:defRPr lang="zh-CN" sz="1000" b="1" i="0" u="none" strike="noStrike" kern="1200" baseline="0">
                        <a:solidFill>
                          <a:schemeClr val="lt1"/>
                        </a:solidFill>
                        <a:latin typeface="+mn-lt"/>
                        <a:ea typeface="+mn-ea"/>
                        <a:cs typeface="+mn-cs"/>
                      </a:defRPr>
                    </a:pPr>
                    <a:r>
                      <a:t>37</a:t>
                    </a:r>
                    <a:r>
                      <a:rPr lang="en-US" altLang="zh-CN"/>
                      <a:t>.22</a:t>
                    </a:r>
                    <a:r>
                      <a:t>%</a:t>
                    </a:r>
                  </a:p>
                </c:rich>
              </c:tx>
              <c:dLblPos val="ctr"/>
              <c:showLegendKey val="false"/>
              <c:showVal val="false"/>
              <c:showCatName val="false"/>
              <c:showSerName val="false"/>
              <c:showPercent val="true"/>
              <c:showBubbleSize val="false"/>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true"/>
              <a:lstStyle/>
              <a:p>
                <a:pPr>
                  <a:defRPr lang="zh-CN" sz="1000" b="1" i="0" u="none" strike="noStrike" kern="1200" baseline="0">
                    <a:solidFill>
                      <a:schemeClr val="lt1"/>
                    </a:solidFill>
                    <a:latin typeface="+mn-lt"/>
                    <a:ea typeface="+mn-ea"/>
                    <a:cs typeface="+mn-cs"/>
                  </a:defRPr>
                </a:pPr>
              </a:p>
            </c:txPr>
            <c:dLblPos val="ctr"/>
            <c:showLegendKey val="false"/>
            <c:showVal val="false"/>
            <c:showCatName val="false"/>
            <c:showSerName val="false"/>
            <c:showPercent val="true"/>
            <c:showBubbleSize val="false"/>
            <c:showLeaderLines val="true"/>
            <c:extLst>
              <c:ext xmlns:c15="http://schemas.microsoft.com/office/drawing/2012/chart" uri="{CE6537A1-D6FC-4f65-9D91-7224C49458BB}">
                <c15:layout/>
                <c15:showLeaderLines val="true"/>
                <c15:leaderLines>
                  <c:spPr>
                    <a:ln w="9525">
                      <a:solidFill>
                        <a:schemeClr val="dk1">
                          <a:lumMod val="50000"/>
                          <a:lumOff val="50000"/>
                        </a:schemeClr>
                      </a:solidFill>
                    </a:ln>
                    <a:effectLst/>
                  </c:spPr>
                </c15:leaderLines>
              </c:ext>
            </c:extLst>
          </c:dLbls>
          <c:cat>
            <c:strRef>
              <c:f>Sheet1!$A$2:$A$3</c:f>
              <c:strCache>
                <c:ptCount val="2"/>
                <c:pt idx="0">
                  <c:v>财政拨款收入</c:v>
                </c:pt>
                <c:pt idx="1">
                  <c:v>其他收入</c:v>
                </c:pt>
              </c:strCache>
            </c:strRef>
          </c:cat>
          <c:val>
            <c:numRef>
              <c:f>Sheet1!$B$2:$B$3</c:f>
              <c:numCache>
                <c:formatCode>0.00%</c:formatCode>
                <c:ptCount val="2"/>
                <c:pt idx="0">
                  <c:v>0.6278</c:v>
                </c:pt>
                <c:pt idx="1">
                  <c:v>0.3722</c:v>
                </c:pt>
              </c:numCache>
            </c:numRef>
          </c:val>
        </c:ser>
        <c:dLbls>
          <c:showLegendKey val="false"/>
          <c:showVal val="false"/>
          <c:showCatName val="false"/>
          <c:showSerName val="false"/>
          <c:showPercent val="true"/>
          <c:showBubbleSize val="false"/>
          <c:showLeaderLines val="true"/>
        </c:dLbls>
        <c:firstSliceAng val="0"/>
      </c:pieChart>
      <c:spPr>
        <a:noFill/>
        <a:ln>
          <a:noFill/>
        </a:ln>
        <a:effectLst/>
      </c:spPr>
    </c:plotArea>
    <c:legend>
      <c:legendPos val="r"/>
      <c:layout/>
      <c:overlay val="false"/>
      <c:spPr>
        <a:solidFill>
          <a:schemeClr val="lt1">
            <a:lumMod val="95000"/>
            <a:alpha val="39000"/>
          </a:schemeClr>
        </a:solidFill>
        <a:ln>
          <a:noFill/>
        </a:ln>
        <a:effectLst/>
      </c:spPr>
      <c:txPr>
        <a:bodyPr rot="0" spcFirstLastPara="0" vertOverflow="ellipsis" vert="horz" wrap="square" anchor="ctr" anchorCtr="true"/>
        <a:lstStyle/>
        <a:p>
          <a:pPr>
            <a:defRPr lang="zh-CN" sz="900" b="0" i="0" u="none" strike="noStrike" kern="1200" baseline="0">
              <a:solidFill>
                <a:schemeClr val="dk1">
                  <a:lumMod val="75000"/>
                  <a:lumOff val="25000"/>
                </a:schemeClr>
              </a:solidFill>
              <a:latin typeface="+mn-lt"/>
              <a:ea typeface="+mn-ea"/>
              <a:cs typeface="+mn-cs"/>
            </a:defRPr>
          </a:pPr>
        </a:p>
      </c:txPr>
    </c:legend>
    <c:plotVisOnly val="true"/>
    <c:dispBlanksAs val="gap"/>
    <c:showDLblsOverMax val="false"/>
  </c:chart>
  <c:spPr>
    <a:gradFill flip="none" rotWithShape="true">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7"/>
    </mc:Choice>
    <mc:Fallback>
      <c:style val="7"/>
    </mc:Fallback>
  </mc:AlternateContent>
  <c:chart>
    <c:autoTitleDeleted val="true"/>
    <c:plotArea>
      <c:layout/>
      <c:pieChart>
        <c:varyColors val="false"/>
        <c:ser>
          <c:idx val="0"/>
          <c:order val="0"/>
          <c:spPr>
            <a:solidFill>
              <a:schemeClr val="accent5"/>
            </a:solidFill>
            <a:ln>
              <a:noFill/>
            </a:ln>
            <a:effectLst>
              <a:outerShdw blurRad="50800" dist="38100" dir="14700000" algn="t" rotWithShape="0">
                <a:srgbClr val="000000">
                  <a:alpha val="60000"/>
                </a:srgbClr>
              </a:outerShdw>
            </a:effectLst>
          </c:spPr>
          <c:explosion val="0"/>
          <c:dPt>
            <c:idx val="0"/>
            <c:bubble3D val="false"/>
            <c:explosion val="5"/>
            <c:spPr>
              <a:solidFill>
                <a:srgbClr val="00B050"/>
              </a:solidFill>
              <a:ln>
                <a:noFill/>
              </a:ln>
              <a:effectLst>
                <a:outerShdw blurRad="50800" dist="38100" dir="14700000" algn="t" rotWithShape="0">
                  <a:srgbClr val="000000">
                    <a:alpha val="60000"/>
                  </a:srgbClr>
                </a:outerShdw>
              </a:effectLst>
            </c:spPr>
          </c:dPt>
          <c:dLbls>
            <c:dLbl>
              <c:idx val="0"/>
              <c:layout>
                <c:manualLayout>
                  <c:x val="0.0399150751322518"/>
                  <c:y val="-0.0799172060583084"/>
                </c:manualLayout>
              </c:layout>
              <c:tx>
                <c:rich>
                  <a:bodyPr rot="0" spcFirstLastPara="0" vertOverflow="ellipsis" vert="horz" wrap="square" lIns="38100" tIns="19050" rIns="38100" bIns="19050" anchor="ctr" anchorCtr="true"/>
                  <a:lstStyle/>
                  <a:p>
                    <a:pPr>
                      <a:defRPr lang="zh-CN" sz="1400" b="0" i="0" u="none" strike="noStrike" kern="1200" baseline="0">
                        <a:solidFill>
                          <a:schemeClr val="tx1">
                            <a:lumMod val="75000"/>
                            <a:lumOff val="2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r>
                      <a:rPr lang="zh-CN" altLang="en-US" sz="14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rPr>
                      <a:t>项目支出</a:t>
                    </a:r>
                    <a:endParaRPr lang="zh-CN" altLang="en-US" sz="14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endParaRPr>
                  </a:p>
                  <a:p>
                    <a:pPr>
                      <a:defRPr lang="zh-CN" sz="1400" b="0" i="0" u="none" strike="noStrike" kern="1200" baseline="0">
                        <a:solidFill>
                          <a:schemeClr val="tx1">
                            <a:lumMod val="75000"/>
                            <a:lumOff val="2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r>
                      <a:rPr lang="en-US" altLang="zh-CN" sz="14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rPr>
                      <a:t>27.43%</a:t>
                    </a:r>
                    <a:endParaRPr lang="en-US" altLang="zh-CN" sz="14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endParaRPr>
                  </a:p>
                </c:rich>
              </c:tx>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dLbl>
              <c:idx val="1"/>
              <c:layout>
                <c:manualLayout>
                  <c:x val="-0.0593398215058879"/>
                  <c:y val="0.0556116828393451"/>
                </c:manualLayout>
              </c:layout>
              <c:tx>
                <c:rich>
                  <a:bodyPr rot="0" spcFirstLastPara="0" vertOverflow="ellipsis" vert="horz" wrap="square" lIns="38100" tIns="19050" rIns="38100" bIns="19050" anchor="ctr" anchorCtr="true"/>
                  <a:lstStyle/>
                  <a:p>
                    <a:pPr>
                      <a:defRPr lang="zh-CN" sz="1400" b="0" i="0" u="none" strike="noStrike" kern="1200" baseline="0">
                        <a:solidFill>
                          <a:schemeClr val="tx1">
                            <a:lumMod val="75000"/>
                            <a:lumOff val="2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r>
                      <a:rPr lang="zh-CN" altLang="en-US" sz="14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rPr>
                      <a:t>基本支出</a:t>
                    </a:r>
                    <a:endParaRPr lang="zh-CN" altLang="en-US" sz="14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endParaRPr>
                  </a:p>
                  <a:p>
                    <a:pPr>
                      <a:defRPr lang="zh-CN" sz="1400" b="0" i="0" u="none" strike="noStrike" kern="1200" baseline="0">
                        <a:solidFill>
                          <a:schemeClr val="tx1">
                            <a:lumMod val="75000"/>
                            <a:lumOff val="2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r>
                      <a:rPr lang="en-US" altLang="zh-CN" sz="14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rPr>
                      <a:t>72.57%</a:t>
                    </a:r>
                    <a:endParaRPr lang="en-US" altLang="zh-CN" sz="1400">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endParaRPr>
                  </a:p>
                </c:rich>
              </c:tx>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400" b="0" i="0" u="none" strike="noStrike" kern="1200" baseline="0">
                    <a:solidFill>
                      <a:schemeClr val="tx1">
                        <a:lumMod val="75000"/>
                        <a:lumOff val="25000"/>
                      </a:schemeClr>
                    </a:solidFill>
                    <a:latin typeface="方正小标宋简体" panose="02000000000000000000" charset="-122"/>
                    <a:ea typeface="方正小标宋简体" panose="02000000000000000000" charset="-122"/>
                    <a:cs typeface="方正小标宋简体" panose="02000000000000000000" charset="-122"/>
                    <a:sym typeface="方正小标宋简体" panose="02000000000000000000" charset="-122"/>
                  </a:defRPr>
                </a:pPr>
              </a:p>
            </c:txPr>
            <c:dLblPos val="inEnd"/>
            <c:showLegendKey val="false"/>
            <c:showVal val="false"/>
            <c:showCatName val="tru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[文档使用表格.xlsx]Sheet2!$C$47:$D$47</c:f>
              <c:strCache>
                <c:ptCount val="2"/>
                <c:pt idx="0">
                  <c:v>基本支出</c:v>
                </c:pt>
                <c:pt idx="1">
                  <c:v>项目支出</c:v>
                </c:pt>
              </c:strCache>
            </c:strRef>
          </c:cat>
          <c:val>
            <c:numRef>
              <c:f>[文档使用表格.xlsx]Sheet2!$C$48:$D$48</c:f>
              <c:numCache>
                <c:formatCode>#,##0.00</c:formatCode>
                <c:ptCount val="2"/>
                <c:pt idx="0">
                  <c:v>246955.08</c:v>
                </c:pt>
                <c:pt idx="1">
                  <c:v>456193.26</c:v>
                </c:pt>
              </c:numCache>
            </c:numRef>
          </c:val>
        </c:ser>
        <c:dLbls>
          <c:showLegendKey val="false"/>
          <c:showVal val="false"/>
          <c:showCatName val="false"/>
          <c:showSerName val="false"/>
          <c:showPercent val="true"/>
          <c:showBubbleSize val="false"/>
          <c:showLeaderLines val="true"/>
        </c:dLbls>
        <c:firstSliceAng val="0"/>
      </c:pieChart>
      <c:spPr>
        <a:noFill/>
        <a:ln>
          <a:noFill/>
        </a:ln>
        <a:effectLst/>
      </c:spPr>
    </c:plotArea>
    <c:plotVisOnly val="true"/>
    <c:dispBlanksAs val="gap"/>
    <c:showDLblsOverMax val="false"/>
  </c:chart>
  <c:spPr>
    <a:solidFill>
      <a:schemeClr val="bg1"/>
    </a:solidFill>
    <a:ln w="9525" cap="flat" cmpd="sng" algn="ctr">
      <a:solidFill>
        <a:schemeClr val="accent5">
          <a:lumMod val="60000"/>
          <a:lumOff val="40000"/>
        </a:schemeClr>
      </a:solidFill>
      <a:prstDash val="solid"/>
      <a:round/>
    </a:ln>
    <a:effectLst/>
  </c:spPr>
  <c:txPr>
    <a:bodyPr/>
    <a:lstStyle/>
    <a:p>
      <a:pPr>
        <a:defRPr lang="zh-CN"/>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800" b="1" i="0" u="none" strike="noStrike" kern="1200" baseline="0">
                <a:solidFill>
                  <a:schemeClr val="dk1">
                    <a:lumMod val="75000"/>
                    <a:lumOff val="25000"/>
                  </a:schemeClr>
                </a:solidFill>
                <a:latin typeface="+mn-lt"/>
                <a:ea typeface="+mn-ea"/>
                <a:cs typeface="+mn-cs"/>
              </a:defRPr>
            </a:pPr>
            <a:r>
              <a:t>财政拨款收支</a:t>
            </a:r>
          </a:p>
        </c:rich>
      </c:tx>
      <c:layout>
        <c:manualLayout>
          <c:xMode val="edge"/>
          <c:yMode val="edge"/>
          <c:x val="0.387125"/>
          <c:y val="0.0346666666666667"/>
        </c:manualLayout>
      </c:layout>
      <c:overlay val="false"/>
      <c:spPr>
        <a:noFill/>
        <a:ln>
          <a:noFill/>
        </a:ln>
        <a:effectLst/>
      </c:spPr>
    </c:title>
    <c:autoTitleDeleted val="false"/>
    <c:plotArea>
      <c:layout/>
      <c:barChart>
        <c:barDir val="col"/>
        <c:grouping val="clustered"/>
        <c:varyColors val="false"/>
        <c:ser>
          <c:idx val="0"/>
          <c:order val="0"/>
          <c:tx>
            <c:strRef>
              <c:f>Sheet1!$B$1</c:f>
              <c:strCache>
                <c:ptCount val="1"/>
                <c:pt idx="0">
                  <c:v>2020年度</c:v>
                </c:pt>
              </c:strCache>
            </c:strRef>
          </c:tx>
          <c:spPr>
            <a:solidFill>
              <a:schemeClr val="accent1">
                <a:alpha val="85000"/>
              </a:schemeClr>
            </a:solidFill>
            <a:ln w="9525" cap="flat" cmpd="sng" algn="ctr">
              <a:solidFill>
                <a:schemeClr val="lt1">
                  <a:alpha val="50000"/>
                </a:schemeClr>
              </a:solidFill>
              <a:round/>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1" i="0" u="none" strike="noStrike" kern="1200" baseline="0">
                    <a:solidFill>
                      <a:schemeClr val="lt1"/>
                    </a:solidFill>
                    <a:latin typeface="+mn-lt"/>
                    <a:ea typeface="+mn-ea"/>
                    <a:cs typeface="+mn-cs"/>
                  </a:defRPr>
                </a:pPr>
              </a:p>
            </c:txPr>
            <c:dLblPos val="in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a:solidFill>
                        <a:schemeClr val="dk1">
                          <a:lumMod val="50000"/>
                          <a:lumOff val="50000"/>
                        </a:schemeClr>
                      </a:solidFill>
                    </a:ln>
                    <a:effectLst/>
                  </c:spPr>
                </c15:leaderLines>
              </c:ext>
            </c:extLst>
          </c:dLbls>
          <c:cat>
            <c:strRef>
              <c:f>Sheet1!$A$2</c:f>
              <c:strCache>
                <c:ptCount val="1"/>
                <c:pt idx="0">
                  <c:v>金额</c:v>
                </c:pt>
              </c:strCache>
            </c:strRef>
          </c:cat>
          <c:val>
            <c:numRef>
              <c:f>Sheet1!$B$2</c:f>
              <c:numCache>
                <c:formatCode>#,##0.00</c:formatCode>
                <c:ptCount val="1"/>
                <c:pt idx="0">
                  <c:v>83474.5</c:v>
                </c:pt>
              </c:numCache>
            </c:numRef>
          </c:val>
        </c:ser>
        <c:ser>
          <c:idx val="1"/>
          <c:order val="1"/>
          <c:tx>
            <c:strRef>
              <c:f>Sheet1!$C$1</c:f>
              <c:strCache>
                <c:ptCount val="1"/>
                <c:pt idx="0">
                  <c:v>2021年度</c:v>
                </c:pt>
              </c:strCache>
            </c:strRef>
          </c:tx>
          <c:spPr>
            <a:solidFill>
              <a:schemeClr val="accent2">
                <a:alpha val="85000"/>
              </a:schemeClr>
            </a:solidFill>
            <a:ln w="9525" cap="flat" cmpd="sng" algn="ctr">
              <a:solidFill>
                <a:schemeClr val="lt1">
                  <a:alpha val="50000"/>
                </a:schemeClr>
              </a:solidFill>
              <a:round/>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1" i="0" u="none" strike="noStrike" kern="1200" baseline="0">
                    <a:solidFill>
                      <a:schemeClr val="lt1"/>
                    </a:solidFill>
                    <a:latin typeface="+mn-lt"/>
                    <a:ea typeface="+mn-ea"/>
                    <a:cs typeface="+mn-cs"/>
                  </a:defRPr>
                </a:pPr>
              </a:p>
            </c:txPr>
            <c:dLblPos val="in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a:solidFill>
                        <a:schemeClr val="dk1">
                          <a:lumMod val="50000"/>
                          <a:lumOff val="50000"/>
                        </a:schemeClr>
                      </a:solidFill>
                    </a:ln>
                    <a:effectLst/>
                  </c:spPr>
                </c15:leaderLines>
              </c:ext>
            </c:extLst>
          </c:dLbls>
          <c:cat>
            <c:strRef>
              <c:f>Sheet1!$A$2</c:f>
              <c:strCache>
                <c:ptCount val="1"/>
                <c:pt idx="0">
                  <c:v>金额</c:v>
                </c:pt>
              </c:strCache>
            </c:strRef>
          </c:cat>
          <c:val>
            <c:numRef>
              <c:f>Sheet1!$C$2</c:f>
              <c:numCache>
                <c:formatCode>#,##0.00</c:formatCode>
                <c:ptCount val="1"/>
                <c:pt idx="0">
                  <c:v>83725.52</c:v>
                </c:pt>
              </c:numCache>
            </c:numRef>
          </c:val>
        </c:ser>
        <c:ser>
          <c:idx val="2"/>
          <c:order val="2"/>
          <c:tx>
            <c:strRef>
              <c:f>Sheet1!#REF!</c:f>
              <c:strCache>
                <c:ptCount val="1"/>
                <c:pt idx="0">
                  <c:v/>
                </c:pt>
              </c:strCache>
            </c:strRef>
          </c:tx>
          <c:spPr>
            <a:solidFill>
              <a:schemeClr val="accent3">
                <a:alpha val="85000"/>
              </a:schemeClr>
            </a:solidFill>
            <a:ln w="9525" cap="flat" cmpd="sng" algn="ctr">
              <a:solidFill>
                <a:schemeClr val="lt1">
                  <a:alpha val="50000"/>
                </a:schemeClr>
              </a:solidFill>
              <a:round/>
            </a:ln>
            <a:effectLst/>
          </c:spPr>
          <c:invertIfNegative val="false"/>
          <c:dLbls>
            <c:delete val="true"/>
          </c:dLbls>
          <c:cat>
            <c:strRef>
              <c:f>Sheet1!$A$2</c:f>
              <c:strCache>
                <c:ptCount val="1"/>
                <c:pt idx="0">
                  <c:v>金额</c:v>
                </c:pt>
              </c:strCache>
            </c:strRef>
          </c:cat>
          <c:val>
            <c:numRef>
              <c:f>Sheet1!#REF!</c:f>
              <c:numCache>
                <c:formatCode>General</c:formatCode>
                <c:ptCount val="1"/>
                <c:pt idx="0">
                  <c:v>1</c:v>
                </c:pt>
              </c:numCache>
            </c:numRef>
          </c:val>
        </c:ser>
        <c:dLbls>
          <c:showLegendKey val="false"/>
          <c:showVal val="true"/>
          <c:showCatName val="false"/>
          <c:showSerName val="false"/>
          <c:showPercent val="false"/>
          <c:showBubbleSize val="false"/>
        </c:dLbls>
        <c:gapWidth val="65"/>
        <c:overlap val="0"/>
        <c:axId val="863622890"/>
        <c:axId val="610587681"/>
      </c:barChart>
      <c:catAx>
        <c:axId val="863622890"/>
        <c:scaling>
          <c:orientation val="minMax"/>
        </c:scaling>
        <c:delete val="false"/>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true"/>
          <a:lstStyle/>
          <a:p>
            <a:pPr>
              <a:defRPr lang="zh-CN" sz="900" b="0" i="0" u="none" strike="noStrike" kern="1200" cap="all" baseline="0">
                <a:solidFill>
                  <a:schemeClr val="dk1">
                    <a:lumMod val="75000"/>
                    <a:lumOff val="25000"/>
                  </a:schemeClr>
                </a:solidFill>
                <a:latin typeface="+mn-lt"/>
                <a:ea typeface="+mn-ea"/>
                <a:cs typeface="+mn-cs"/>
              </a:defRPr>
            </a:pPr>
          </a:p>
        </c:txPr>
        <c:crossAx val="610587681"/>
        <c:crosses val="autoZero"/>
        <c:auto val="true"/>
        <c:lblAlgn val="ctr"/>
        <c:lblOffset val="100"/>
        <c:noMultiLvlLbl val="false"/>
      </c:catAx>
      <c:valAx>
        <c:axId val="610587681"/>
        <c:scaling>
          <c:orientation val="minMax"/>
        </c:scaling>
        <c:delete val="true"/>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false"/>
              </a:gradFill>
              <a:round/>
            </a:ln>
            <a:effectLst/>
          </c:spPr>
        </c:majorGridlines>
        <c:numFmt formatCode="#,##0.00" sourceLinked="true"/>
        <c:majorTickMark val="none"/>
        <c:minorTickMark val="none"/>
        <c:tickLblPos val="nextTo"/>
        <c:txPr>
          <a:bodyPr rot="-60000000" spcFirstLastPara="0" vertOverflow="ellipsis" vert="horz" wrap="square" anchor="ctr" anchorCtr="true"/>
          <a:lstStyle/>
          <a:p>
            <a:pPr>
              <a:defRPr lang="zh-CN" sz="900" b="0" i="0" u="none" strike="noStrike" kern="1200" baseline="0">
                <a:solidFill>
                  <a:schemeClr val="dk1">
                    <a:lumMod val="75000"/>
                    <a:lumOff val="25000"/>
                  </a:schemeClr>
                </a:solidFill>
                <a:latin typeface="+mn-lt"/>
                <a:ea typeface="+mn-ea"/>
                <a:cs typeface="+mn-cs"/>
              </a:defRPr>
            </a:pPr>
          </a:p>
        </c:txPr>
        <c:crossAx val="863622890"/>
        <c:crosses val="autoZero"/>
        <c:crossBetween val="between"/>
      </c:valAx>
      <c:spPr>
        <a:noFill/>
        <a:ln>
          <a:noFill/>
        </a:ln>
        <a:effectLst/>
      </c:spPr>
    </c:plotArea>
    <c:legend>
      <c:legendPos val="b"/>
      <c:legendEntry>
        <c:idx val="2"/>
        <c:delete val="true"/>
      </c:legendEntry>
      <c:layout/>
      <c:overlay val="false"/>
      <c:spPr>
        <a:solidFill>
          <a:schemeClr val="lt1">
            <a:lumMod val="95000"/>
            <a:alpha val="39000"/>
          </a:schemeClr>
        </a:solidFill>
        <a:ln>
          <a:noFill/>
        </a:ln>
        <a:effectLst/>
      </c:spPr>
      <c:txPr>
        <a:bodyPr rot="0" spcFirstLastPara="0" vertOverflow="ellipsis" vert="horz" wrap="square" anchor="ctr" anchorCtr="true"/>
        <a:lstStyle/>
        <a:p>
          <a:pPr>
            <a:defRPr lang="zh-CN" sz="900" b="0" i="0" u="none" strike="noStrike" kern="1200" baseline="0">
              <a:solidFill>
                <a:schemeClr val="dk1">
                  <a:lumMod val="75000"/>
                  <a:lumOff val="25000"/>
                </a:schemeClr>
              </a:solidFill>
              <a:latin typeface="+mn-lt"/>
              <a:ea typeface="+mn-ea"/>
              <a:cs typeface="+mn-cs"/>
            </a:defRPr>
          </a:pPr>
        </a:p>
      </c:txPr>
    </c:legend>
    <c:plotVisOnly val="true"/>
    <c:dispBlanksAs val="gap"/>
    <c:showDLblsOverMax val="false"/>
  </c:chart>
  <c:spPr>
    <a:gradFill flip="none" rotWithShape="true">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a:t>
            </a:r>
          </a:p>
        </c:rich>
      </c:tx>
      <c:layout/>
      <c:overlay val="false"/>
      <c:spPr>
        <a:noFill/>
        <a:ln>
          <a:noFill/>
        </a:ln>
        <a:effectLst/>
      </c:spPr>
    </c:title>
    <c:autoTitleDeleted val="false"/>
    <c:plotArea>
      <c:layout/>
      <c:barChart>
        <c:barDir val="col"/>
        <c:grouping val="clustered"/>
        <c:varyColors val="false"/>
        <c:ser>
          <c:idx val="0"/>
          <c:order val="0"/>
          <c:tx>
            <c:strRef>
              <c:f>Sheet1!$B$1</c:f>
              <c:strCache>
                <c:ptCount val="1"/>
                <c:pt idx="0">
                  <c:v>2020年度</c:v>
                </c:pt>
              </c:strCache>
            </c:strRef>
          </c:tx>
          <c:spPr>
            <a:solidFill>
              <a:schemeClr val="accent1"/>
            </a:solidFill>
            <a:ln>
              <a:noFill/>
            </a:ln>
            <a:effectLst/>
          </c:spPr>
          <c:invertIfNegative val="false"/>
          <c:dLbls>
            <c:delete val="true"/>
          </c:dLbls>
          <c:cat>
            <c:strRef>
              <c:f>Sheet1!$A$2</c:f>
              <c:strCache>
                <c:ptCount val="1"/>
                <c:pt idx="0">
                  <c:v>金额</c:v>
                </c:pt>
              </c:strCache>
            </c:strRef>
          </c:cat>
          <c:val>
            <c:numRef>
              <c:f>Sheet1!$B$2</c:f>
              <c:numCache>
                <c:formatCode>#,##0.00</c:formatCode>
                <c:ptCount val="1"/>
                <c:pt idx="0">
                  <c:v>31649.22</c:v>
                </c:pt>
              </c:numCache>
            </c:numRef>
          </c:val>
        </c:ser>
        <c:ser>
          <c:idx val="1"/>
          <c:order val="1"/>
          <c:tx>
            <c:strRef>
              <c:f>Sheet1!$C$1</c:f>
              <c:strCache>
                <c:ptCount val="1"/>
                <c:pt idx="0">
                  <c:v>2021年度</c:v>
                </c:pt>
              </c:strCache>
            </c:strRef>
          </c:tx>
          <c:spPr>
            <a:solidFill>
              <a:schemeClr val="accent2"/>
            </a:solidFill>
            <a:ln>
              <a:noFill/>
            </a:ln>
            <a:effectLst/>
          </c:spPr>
          <c:invertIfNegative val="false"/>
          <c:dLbls>
            <c:delete val="true"/>
          </c:dLbls>
          <c:cat>
            <c:strRef>
              <c:f>Sheet1!$A$2</c:f>
              <c:strCache>
                <c:ptCount val="1"/>
                <c:pt idx="0">
                  <c:v>金额</c:v>
                </c:pt>
              </c:strCache>
            </c:strRef>
          </c:cat>
          <c:val>
            <c:numRef>
              <c:f>Sheet1!$C$2</c:f>
              <c:numCache>
                <c:formatCode>#,##0.00</c:formatCode>
                <c:ptCount val="1"/>
                <c:pt idx="0">
                  <c:v>43898.66</c:v>
                </c:pt>
              </c:numCache>
            </c:numRef>
          </c:val>
        </c:ser>
        <c:ser>
          <c:idx val="2"/>
          <c:order val="2"/>
          <c:tx>
            <c:strRef>
              <c:f>Sheet1!#REF!</c:f>
              <c:strCache>
                <c:ptCount val="1"/>
                <c:pt idx="0">
                  <c:v/>
                </c:pt>
              </c:strCache>
            </c:strRef>
          </c:tx>
          <c:spPr>
            <a:solidFill>
              <a:schemeClr val="accent3"/>
            </a:solidFill>
            <a:ln>
              <a:noFill/>
            </a:ln>
            <a:effectLst/>
          </c:spPr>
          <c:invertIfNegative val="false"/>
          <c:dLbls>
            <c:delete val="true"/>
          </c:dLbls>
          <c:cat>
            <c:strRef>
              <c:f>Sheet1!$A$2</c:f>
              <c:strCache>
                <c:ptCount val="1"/>
                <c:pt idx="0">
                  <c:v>金额</c:v>
                </c:pt>
              </c:strCache>
            </c:strRef>
          </c:cat>
          <c:val>
            <c:numRef>
              <c:f>Sheet1!#REF!</c:f>
              <c:numCache>
                <c:formatCode>General</c:formatCode>
                <c:ptCount val="1"/>
                <c:pt idx="0">
                  <c:v>1</c:v>
                </c:pt>
              </c:numCache>
            </c:numRef>
          </c:val>
        </c:ser>
        <c:dLbls>
          <c:showLegendKey val="false"/>
          <c:showVal val="false"/>
          <c:showCatName val="false"/>
          <c:showSerName val="false"/>
          <c:showPercent val="false"/>
          <c:showBubbleSize val="false"/>
        </c:dLbls>
        <c:gapWidth val="150"/>
        <c:overlap val="0"/>
        <c:axId val="687298151"/>
        <c:axId val="840860544"/>
      </c:barChart>
      <c:catAx>
        <c:axId val="687298151"/>
        <c:scaling>
          <c:orientation val="minMax"/>
        </c:scaling>
        <c:delete val="false"/>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840860544"/>
        <c:crosses val="autoZero"/>
        <c:auto val="true"/>
        <c:lblAlgn val="ctr"/>
        <c:lblOffset val="100"/>
        <c:noMultiLvlLbl val="false"/>
      </c:catAx>
      <c:valAx>
        <c:axId val="840860544"/>
        <c:scaling>
          <c:orientation val="minMax"/>
        </c:scaling>
        <c:delete val="false"/>
        <c:axPos val="l"/>
        <c:majorGridlines>
          <c:spPr>
            <a:ln w="9525" cap="flat" cmpd="sng" algn="ctr">
              <a:solidFill>
                <a:schemeClr val="tx1">
                  <a:lumMod val="15000"/>
                  <a:lumOff val="85000"/>
                </a:schemeClr>
              </a:solidFill>
              <a:round/>
            </a:ln>
            <a:effectLst/>
          </c:spPr>
        </c:majorGridlines>
        <c:numFmt formatCode="#,##0.00"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87298151"/>
        <c:crosses val="autoZero"/>
        <c:crossBetween val="between"/>
      </c:valAx>
      <c:spPr>
        <a:noFill/>
        <a:ln>
          <a:noFill/>
        </a:ln>
        <a:effectLst/>
      </c:spPr>
    </c:plotArea>
    <c:legend>
      <c:legendPos val="b"/>
      <c:legendEntry>
        <c:idx val="2"/>
        <c:delete val="true"/>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7"/>
    </mc:Choice>
    <mc:Fallback>
      <c:style val="7"/>
    </mc:Fallback>
  </mc:AlternateContent>
  <c:chart>
    <c:autoTitleDeleted val="true"/>
    <c:plotArea>
      <c:layout/>
      <c:pieChart>
        <c:varyColors val="true"/>
        <c:ser>
          <c:idx val="0"/>
          <c:order val="0"/>
          <c:spPr/>
          <c:explosion val="0"/>
          <c:dPt>
            <c:idx val="0"/>
            <c:bubble3D val="false"/>
            <c:spPr>
              <a:solidFill>
                <a:schemeClr val="accent5">
                  <a:shade val="76667"/>
                </a:schemeClr>
              </a:solidFill>
              <a:ln w="19050">
                <a:solidFill>
                  <a:schemeClr val="lt1"/>
                </a:solidFill>
              </a:ln>
              <a:effectLst/>
            </c:spPr>
          </c:dPt>
          <c:dPt>
            <c:idx val="1"/>
            <c:bubble3D val="false"/>
            <c:explosion val="8"/>
            <c:spPr>
              <a:solidFill>
                <a:schemeClr val="accent5">
                  <a:tint val="76667"/>
                </a:schemeClr>
              </a:solidFill>
              <a:ln w="19050">
                <a:solidFill>
                  <a:schemeClr val="lt1"/>
                </a:solidFill>
              </a:ln>
              <a:effectLst/>
            </c:spPr>
          </c:dPt>
          <c:dLbls>
            <c:dLbl>
              <c:idx val="0"/>
              <c:layout>
                <c:manualLayout>
                  <c:x val="0.0674224960250173"/>
                  <c:y val="-7.67284724434402e-5"/>
                </c:manualLayout>
              </c:layout>
              <c:tx>
                <c:rich>
                  <a:bodyPr rot="0" spcFirstLastPara="0" vertOverflow="ellipsis" vert="horz" wrap="square" lIns="38100" tIns="19050" rIns="38100" bIns="19050" anchor="ctr" anchorCtr="true"/>
                  <a:lstStyle/>
                  <a:p>
                    <a:pPr defTabSz="914400">
                      <a:defRPr lang="zh-CN" sz="10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000" b="1">
                        <a:latin typeface="Times New Roman" panose="02020603050405020304" charset="0"/>
                        <a:ea typeface="Times New Roman" panose="02020603050405020304" charset="0"/>
                        <a:cs typeface="Times New Roman" panose="02020603050405020304" charset="0"/>
                        <a:sym typeface="Times New Roman" panose="02020603050405020304" charset="0"/>
                      </a:rPr>
                      <a:t>住房保障（类）支出</a:t>
                    </a:r>
                    <a:endParaRPr sz="1000" b="1">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defTabSz="914400">
                      <a:defRPr lang="zh-CN" sz="10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sz="1000" b="1">
                        <a:latin typeface="Times New Roman" panose="02020603050405020304" charset="0"/>
                        <a:ea typeface="Times New Roman" panose="02020603050405020304" charset="0"/>
                        <a:cs typeface="Times New Roman" panose="02020603050405020304" charset="0"/>
                        <a:sym typeface="Times New Roman" panose="02020603050405020304" charset="0"/>
                      </a:rPr>
                      <a:t>4.93</a:t>
                    </a:r>
                    <a:r>
                      <a:rPr sz="1000" b="1">
                        <a:latin typeface="Times New Roman" panose="02020603050405020304" charset="0"/>
                        <a:ea typeface="Times New Roman" panose="02020603050405020304" charset="0"/>
                        <a:cs typeface="Times New Roman" panose="02020603050405020304" charset="0"/>
                        <a:sym typeface="Times New Roman" panose="02020603050405020304" charset="0"/>
                      </a:rPr>
                      <a:t>%</a:t>
                    </a:r>
                    <a:endParaRPr sz="1000" b="1">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dLbl>
              <c:idx val="1"/>
              <c:layout>
                <c:manualLayout>
                  <c:x val="-0.0803235065317426"/>
                  <c:y val="-0.01048545870141"/>
                </c:manualLayout>
              </c:layout>
              <c:tx>
                <c:rich>
                  <a:bodyPr rot="0" spcFirstLastPara="0" vertOverflow="ellipsis" vert="horz" wrap="square" lIns="38100" tIns="19050" rIns="38100" bIns="19050" anchor="ctr" anchorCtr="true"/>
                  <a:lstStyle/>
                  <a:p>
                    <a:pPr defTabSz="914400">
                      <a:defRPr lang="zh-CN" sz="10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000" b="1">
                        <a:latin typeface="Times New Roman" panose="02020603050405020304" charset="0"/>
                        <a:ea typeface="Times New Roman" panose="02020603050405020304" charset="0"/>
                        <a:cs typeface="Times New Roman" panose="02020603050405020304" charset="0"/>
                        <a:sym typeface="Times New Roman" panose="02020603050405020304" charset="0"/>
                      </a:rPr>
                      <a:t>灾害防治及应急管理（类）支出9</a:t>
                    </a:r>
                    <a:r>
                      <a:rPr lang="en-US" altLang="zh-CN" sz="1000" b="1">
                        <a:latin typeface="Times New Roman" panose="02020603050405020304" charset="0"/>
                        <a:ea typeface="Times New Roman" panose="02020603050405020304" charset="0"/>
                        <a:cs typeface="Times New Roman" panose="02020603050405020304" charset="0"/>
                        <a:sym typeface="Times New Roman" panose="02020603050405020304" charset="0"/>
                      </a:rPr>
                      <a:t>5.07</a:t>
                    </a:r>
                    <a:r>
                      <a:rPr sz="1000" b="1">
                        <a:latin typeface="Times New Roman" panose="02020603050405020304" charset="0"/>
                        <a:ea typeface="Times New Roman" panose="02020603050405020304" charset="0"/>
                        <a:cs typeface="Times New Roman" panose="02020603050405020304" charset="0"/>
                        <a:sym typeface="Times New Roman" panose="02020603050405020304" charset="0"/>
                      </a:rPr>
                      <a:t>%</a:t>
                    </a:r>
                    <a:endParaRPr sz="1000" b="1">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false"/>
            <c:showVal val="false"/>
            <c:showCatName val="tru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[文档使用表格.xlsx]Sheet2!$C$78:$D$78</c:f>
              <c:strCache>
                <c:ptCount val="2"/>
                <c:pt idx="0">
                  <c:v>住房保障（类）支出</c:v>
                </c:pt>
                <c:pt idx="1">
                  <c:v>灾害防治及应急管理（类）支出</c:v>
                </c:pt>
              </c:strCache>
            </c:strRef>
          </c:cat>
          <c:val>
            <c:numRef>
              <c:f>[文档使用表格.xlsx]Sheet2!$C$79:$D$79</c:f>
              <c:numCache>
                <c:formatCode>#,##0.00</c:formatCode>
                <c:ptCount val="2"/>
                <c:pt idx="0">
                  <c:v>39650.12</c:v>
                </c:pt>
                <c:pt idx="1">
                  <c:v>637085.37</c:v>
                </c:pt>
              </c:numCache>
            </c:numRef>
          </c:val>
        </c:ser>
        <c:dLbls>
          <c:showLegendKey val="false"/>
          <c:showVal val="false"/>
          <c:showCatName val="false"/>
          <c:showSerName val="false"/>
          <c:showPercent val="true"/>
          <c:showBubbleSize val="false"/>
          <c:showLeaderLines val="true"/>
        </c:dLbls>
        <c:firstSliceAng val="39"/>
      </c:pieChart>
      <c:spPr>
        <a:noFill/>
        <a:ln>
          <a:noFill/>
        </a:ln>
        <a:effectLst/>
      </c:spPr>
    </c:plotArea>
    <c:legend>
      <c:legendPos val="b"/>
      <c:legendEntry>
        <c:idx val="0"/>
        <c:txPr>
          <a:bodyPr rot="0" spcFirstLastPara="0" vertOverflow="ellipsis" vert="horz" wrap="square" anchor="ctr" anchorCtr="true"/>
          <a:lstStyle/>
          <a:p>
            <a:pPr>
              <a:defRPr lang="zh-CN" sz="900" b="1"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Entry>
      <c:legendEntry>
        <c:idx val="1"/>
        <c:txPr>
          <a:bodyPr rot="0" spcFirstLastPara="0" vertOverflow="ellipsis" vert="horz" wrap="square" anchor="ctr" anchorCtr="true"/>
          <a:lstStyle/>
          <a:p>
            <a:pPr>
              <a:defRPr lang="zh-CN" sz="900" b="1"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Entry>
      <c:layout/>
      <c:overlay val="false"/>
      <c:spPr>
        <a:noFill/>
        <a:ln>
          <a:noFill/>
        </a:ln>
        <a:effectLst/>
      </c:spPr>
      <c:txPr>
        <a:bodyPr rot="0" spcFirstLastPara="0" vertOverflow="ellipsis" vert="horz" wrap="square" anchor="ctr" anchorCtr="true"/>
        <a:lstStyle/>
        <a:p>
          <a:pPr>
            <a:defRPr lang="zh-CN" sz="900" b="1"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true">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true">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false"/>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false"/>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true">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true">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false"/>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false"/>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活力">
  <a:themeElements>
    <a:clrScheme name="活力">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活力">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活力">
      <a:fillStyleLst>
        <a:solidFill>
          <a:schemeClr val="phClr"/>
        </a:solidFill>
        <a:gradFill rotWithShape="true">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true">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true">
          <a:gsLst>
            <a:gs pos="0">
              <a:schemeClr val="phClr">
                <a:shade val="48000"/>
                <a:satMod val="230000"/>
              </a:schemeClr>
            </a:gs>
            <a:gs pos="60000">
              <a:schemeClr val="phClr">
                <a:shade val="92000"/>
                <a:satMod val="230000"/>
              </a:schemeClr>
            </a:gs>
            <a:gs pos="100000">
              <a:schemeClr val="phClr">
                <a:tint val="85000"/>
                <a:satMod val="400000"/>
              </a:schemeClr>
            </a:gs>
          </a:gsLst>
          <a:lin ang="5400000" scaled="false"/>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32392</Words>
  <Characters>34092</Characters>
  <Lines>79</Lines>
  <Paragraphs>22</Paragraphs>
  <TotalTime>216</TotalTime>
  <ScaleCrop>false</ScaleCrop>
  <LinksUpToDate>false</LinksUpToDate>
  <CharactersWithSpaces>34151</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2020-06-16T00:05:00Z</dcterms:created>
  <dc:creator>admin</dc:creator>
  <cp:lastModifiedBy>kylin</cp:lastModifiedBy>
  <cp:lastPrinted>2022-08-22T22:54:00Z</cp:lastPrinted>
  <dcterms:modified xsi:type="dcterms:W3CDTF">2022-08-24T10:42:14Z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